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67D8" w14:textId="166B2B4F" w:rsidR="004F5009" w:rsidRPr="00FE14F6" w:rsidRDefault="00923C8E" w:rsidP="00FE14F6">
      <w:pPr>
        <w:pStyle w:val="Heading2"/>
        <w:rPr>
          <w:rFonts w:ascii="Arial" w:hAnsi="Arial" w:cs="Arial"/>
          <w:sz w:val="28"/>
          <w:szCs w:val="28"/>
        </w:rPr>
      </w:pPr>
      <w:bookmarkStart w:id="0" w:name="_Toc310597890"/>
      <w:r>
        <w:rPr>
          <w:rFonts w:ascii="Arial" w:hAnsi="Arial" w:cs="Arial"/>
          <w:sz w:val="28"/>
          <w:szCs w:val="28"/>
        </w:rPr>
        <w:t>Subdivision Limitations</w:t>
      </w:r>
      <w:r w:rsidR="004F5009">
        <w:rPr>
          <w:rFonts w:ascii="Arial" w:hAnsi="Arial" w:cs="Arial"/>
          <w:sz w:val="28"/>
          <w:szCs w:val="28"/>
        </w:rPr>
        <w:t xml:space="preserve"> </w:t>
      </w:r>
      <w:r w:rsidR="003510BB" w:rsidRPr="00680D7D">
        <w:rPr>
          <w:rFonts w:ascii="Arial" w:hAnsi="Arial" w:cs="Arial"/>
          <w:sz w:val="28"/>
          <w:szCs w:val="28"/>
        </w:rPr>
        <w:t>–</w:t>
      </w:r>
      <w:bookmarkEnd w:id="0"/>
      <w:r w:rsidR="002800CB">
        <w:rPr>
          <w:rFonts w:ascii="Arial" w:hAnsi="Arial" w:cs="Arial"/>
          <w:sz w:val="28"/>
          <w:szCs w:val="28"/>
        </w:rPr>
        <w:t xml:space="preserve"> </w:t>
      </w:r>
      <w:r w:rsidR="00FE14F6">
        <w:rPr>
          <w:rFonts w:ascii="Arial" w:hAnsi="Arial" w:cs="Arial"/>
          <w:b w:val="0"/>
          <w:sz w:val="28"/>
          <w:szCs w:val="28"/>
        </w:rPr>
        <w:t xml:space="preserve">local floodplain management </w:t>
      </w:r>
      <w:r w:rsidR="00FE14F6" w:rsidRPr="00BE3359">
        <w:rPr>
          <w:rFonts w:ascii="Arial" w:hAnsi="Arial" w:cs="Arial"/>
          <w:b w:val="0"/>
          <w:sz w:val="28"/>
          <w:szCs w:val="28"/>
        </w:rPr>
        <w:t>ordinance</w:t>
      </w:r>
      <w:r w:rsidR="00FE14F6">
        <w:rPr>
          <w:rFonts w:ascii="Arial" w:hAnsi="Arial" w:cs="Arial"/>
          <w:b w:val="0"/>
          <w:sz w:val="28"/>
          <w:szCs w:val="28"/>
        </w:rPr>
        <w:t xml:space="preserve"> amendments</w:t>
      </w:r>
      <w:r w:rsidR="002800CB">
        <w:rPr>
          <w:rFonts w:ascii="Arial" w:hAnsi="Arial" w:cs="Arial"/>
          <w:b w:val="0"/>
          <w:sz w:val="28"/>
          <w:szCs w:val="28"/>
        </w:rPr>
        <w:t xml:space="preserve"> or local technical code amendments CCR Title 24 (Part 2 building, Appendix G)</w:t>
      </w:r>
    </w:p>
    <w:p w14:paraId="17A8383F" w14:textId="77777777" w:rsidR="00FE14F6" w:rsidRDefault="00FE14F6" w:rsidP="00FE14F6">
      <w:pPr>
        <w:rPr>
          <w:rFonts w:asciiTheme="minorHAnsi" w:hAnsiTheme="minorHAnsi" w:cstheme="minorHAnsi"/>
          <w:b/>
          <w:sz w:val="26"/>
          <w:szCs w:val="26"/>
        </w:rPr>
      </w:pPr>
    </w:p>
    <w:p w14:paraId="6A60CAF1" w14:textId="77777777" w:rsidR="00F359AF" w:rsidRDefault="00FE14F6" w:rsidP="004F5009">
      <w:pPr>
        <w:rPr>
          <w:rFonts w:asciiTheme="minorHAnsi" w:hAnsiTheme="minorHAnsi" w:cstheme="minorHAnsi"/>
          <w:b/>
          <w:sz w:val="26"/>
          <w:szCs w:val="26"/>
          <w:u w:val="single"/>
        </w:rPr>
      </w:pPr>
      <w:r>
        <w:rPr>
          <w:noProof/>
        </w:rPr>
        <mc:AlternateContent>
          <mc:Choice Requires="wps">
            <w:drawing>
              <wp:inline distT="0" distB="0" distL="0" distR="0" wp14:anchorId="48A1DC2F" wp14:editId="5CD639C8">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15BCAB94" w14:textId="38134B38" w:rsidR="00FE14F6" w:rsidRDefault="00486A9F" w:rsidP="00FE14F6">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F359AF">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427DE8">
                              <w:rPr>
                                <w:rStyle w:val="Hyperlink"/>
                                <w:rFonts w:asciiTheme="minorHAnsi" w:hAnsiTheme="minorHAnsi" w:cstheme="minorHAnsi"/>
                                <w:sz w:val="24"/>
                                <w:szCs w:val="24"/>
                                <w:u w:val="none"/>
                              </w:rPr>
                              <w:t xml:space="preserve"> or </w:t>
                            </w:r>
                            <w:hyperlink r:id="rId9" w:history="1">
                              <w:r w:rsidR="00AD75B8" w:rsidRPr="002F2A72">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427DE8">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167D99">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48A1DC2F"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15BCAB94" w14:textId="38134B38" w:rsidR="00FE14F6" w:rsidRDefault="00486A9F" w:rsidP="00FE14F6">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F359AF">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427DE8">
                        <w:rPr>
                          <w:rStyle w:val="Hyperlink"/>
                          <w:rFonts w:asciiTheme="minorHAnsi" w:hAnsiTheme="minorHAnsi" w:cstheme="minorHAnsi"/>
                          <w:sz w:val="24"/>
                          <w:szCs w:val="24"/>
                          <w:u w:val="none"/>
                        </w:rPr>
                        <w:t xml:space="preserve"> or </w:t>
                      </w:r>
                      <w:hyperlink r:id="rId11" w:history="1">
                        <w:r w:rsidR="00AD75B8" w:rsidRPr="002F2A72">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427DE8">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167D99">
                        <w:rPr>
                          <w:rFonts w:asciiTheme="minorHAnsi" w:hAnsiTheme="minorHAnsi" w:cstheme="minorHAnsi"/>
                          <w:sz w:val="24"/>
                          <w:szCs w:val="24"/>
                        </w:rPr>
                        <w:t xml:space="preserve"> </w:t>
                      </w:r>
                    </w:p>
                  </w:txbxContent>
                </v:textbox>
                <w10:anchorlock/>
              </v:shape>
            </w:pict>
          </mc:Fallback>
        </mc:AlternateContent>
      </w:r>
    </w:p>
    <w:p w14:paraId="7495C1A2" w14:textId="77777777" w:rsidR="00F359AF" w:rsidRDefault="00F359AF" w:rsidP="004F5009">
      <w:pPr>
        <w:rPr>
          <w:rFonts w:asciiTheme="minorHAnsi" w:hAnsiTheme="minorHAnsi" w:cstheme="minorHAnsi"/>
          <w:b/>
          <w:sz w:val="26"/>
          <w:szCs w:val="26"/>
          <w:u w:val="single"/>
        </w:rPr>
      </w:pPr>
    </w:p>
    <w:p w14:paraId="32283876" w14:textId="1E566CB9" w:rsidR="004F5009" w:rsidRPr="00FE14F6" w:rsidRDefault="00FE14F6" w:rsidP="004F5009">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9C582C">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p w14:paraId="0FC3CB97" w14:textId="745F1BA7" w:rsidR="00AD5EBB" w:rsidRPr="002927D3" w:rsidRDefault="00AD5EBB" w:rsidP="002927D3"/>
    <w:p w14:paraId="683FFE55" w14:textId="77777777" w:rsidR="00F359AF" w:rsidRDefault="0083637F" w:rsidP="00F359AF">
      <w:pPr>
        <w:jc w:val="center"/>
        <w:rPr>
          <w:rFonts w:asciiTheme="minorHAnsi" w:hAnsiTheme="minorHAnsi" w:cstheme="minorHAnsi"/>
          <w:b/>
          <w:sz w:val="26"/>
          <w:szCs w:val="26"/>
          <w:u w:val="single"/>
        </w:rPr>
      </w:pPr>
      <w:r w:rsidRPr="00CF68D3">
        <w:rPr>
          <w:rFonts w:ascii="Arial" w:hAnsi="Arial" w:cs="Arial"/>
          <w:noProof/>
          <w:sz w:val="22"/>
          <w:szCs w:val="22"/>
        </w:rPr>
        <mc:AlternateContent>
          <mc:Choice Requires="wps">
            <w:drawing>
              <wp:inline distT="0" distB="0" distL="0" distR="0" wp14:anchorId="625F8229" wp14:editId="0F5DAB41">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768FEA95" w14:textId="77777777" w:rsidR="00893BB6" w:rsidRDefault="00893BB6" w:rsidP="00893BB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625F8229"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768FEA95" w14:textId="77777777" w:rsidR="00893BB6" w:rsidRDefault="00893BB6" w:rsidP="00893BB6">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5F087C23" w14:textId="77777777" w:rsidR="00F359AF" w:rsidRDefault="00F359AF" w:rsidP="00923C8E">
      <w:pPr>
        <w:rPr>
          <w:rFonts w:asciiTheme="minorHAnsi" w:hAnsiTheme="minorHAnsi" w:cstheme="minorHAnsi"/>
          <w:b/>
          <w:sz w:val="26"/>
          <w:szCs w:val="26"/>
          <w:u w:val="single"/>
        </w:rPr>
      </w:pPr>
    </w:p>
    <w:p w14:paraId="528E5D86" w14:textId="567C65B1" w:rsidR="00923C8E" w:rsidRPr="00923C8E" w:rsidRDefault="003510BB" w:rsidP="00923C8E">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FE14F6">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2800CB">
        <w:rPr>
          <w:rFonts w:asciiTheme="minorHAnsi" w:hAnsiTheme="minorHAnsi" w:cstheme="minorHAnsi"/>
          <w:sz w:val="26"/>
          <w:szCs w:val="26"/>
        </w:rPr>
        <w:t>C</w:t>
      </w:r>
      <w:r w:rsidR="00923C8E" w:rsidRPr="00923C8E">
        <w:rPr>
          <w:rFonts w:asciiTheme="minorHAnsi" w:hAnsiTheme="minorHAnsi" w:cstheme="minorHAnsi"/>
          <w:sz w:val="26"/>
          <w:szCs w:val="26"/>
        </w:rPr>
        <w:t xml:space="preserve">ommunities </w:t>
      </w:r>
      <w:r w:rsidR="002800CB">
        <w:rPr>
          <w:rFonts w:asciiTheme="minorHAnsi" w:hAnsiTheme="minorHAnsi" w:cstheme="minorHAnsi"/>
          <w:sz w:val="26"/>
          <w:szCs w:val="26"/>
        </w:rPr>
        <w:t xml:space="preserve">can </w:t>
      </w:r>
      <w:r w:rsidR="00923C8E" w:rsidRPr="00923C8E">
        <w:rPr>
          <w:rFonts w:asciiTheme="minorHAnsi" w:hAnsiTheme="minorHAnsi" w:cstheme="minorHAnsi"/>
          <w:sz w:val="26"/>
          <w:szCs w:val="26"/>
        </w:rPr>
        <w:t xml:space="preserve">use </w:t>
      </w:r>
      <w:r w:rsidR="00FE14F6">
        <w:rPr>
          <w:rFonts w:asciiTheme="minorHAnsi" w:hAnsiTheme="minorHAnsi" w:cstheme="minorHAnsi"/>
          <w:sz w:val="26"/>
          <w:szCs w:val="26"/>
        </w:rPr>
        <w:t xml:space="preserve">floodplain management or </w:t>
      </w:r>
      <w:r w:rsidR="00923C8E" w:rsidRPr="00923C8E">
        <w:rPr>
          <w:rFonts w:asciiTheme="minorHAnsi" w:hAnsiTheme="minorHAnsi" w:cstheme="minorHAnsi"/>
          <w:sz w:val="26"/>
          <w:szCs w:val="26"/>
        </w:rPr>
        <w:t xml:space="preserve">subdivision ordinances to avoid or minimize impacts on floodplains through lot layout and open space requirements. Developers may be required to set aside some or all flood hazard areas for open space or recreational areas, or lots may be required to be platted so that building footprints are on high ground. Linear parks and greenways that connect open space areas throughout a community are popular amenities. These more restrictive provisions have advantages over simply requiring buildings to be elevated: </w:t>
      </w:r>
    </w:p>
    <w:p w14:paraId="3AA6CBFA" w14:textId="73A64705" w:rsidR="00923C8E" w:rsidRPr="00FE14F6" w:rsidRDefault="00923C8E" w:rsidP="00FE14F6">
      <w:pPr>
        <w:pStyle w:val="ListParagraph"/>
        <w:numPr>
          <w:ilvl w:val="0"/>
          <w:numId w:val="23"/>
        </w:numPr>
        <w:rPr>
          <w:rFonts w:asciiTheme="minorHAnsi" w:hAnsiTheme="minorHAnsi" w:cstheme="minorHAnsi"/>
          <w:sz w:val="26"/>
          <w:szCs w:val="26"/>
        </w:rPr>
      </w:pPr>
      <w:r w:rsidRPr="00FE14F6">
        <w:rPr>
          <w:rFonts w:asciiTheme="minorHAnsi" w:hAnsiTheme="minorHAnsi" w:cstheme="minorHAnsi"/>
          <w:sz w:val="26"/>
          <w:szCs w:val="26"/>
        </w:rPr>
        <w:t>Fewer buildings are isolated by floodwater, avoiding strains on local emergency services during flood events.</w:t>
      </w:r>
    </w:p>
    <w:p w14:paraId="6566234A" w14:textId="58200F37" w:rsidR="00831D95" w:rsidRPr="00FE14F6" w:rsidRDefault="00923C8E" w:rsidP="00FE14F6">
      <w:pPr>
        <w:pStyle w:val="ListParagraph"/>
        <w:numPr>
          <w:ilvl w:val="0"/>
          <w:numId w:val="23"/>
        </w:numPr>
        <w:rPr>
          <w:rFonts w:asciiTheme="minorHAnsi" w:hAnsiTheme="minorHAnsi" w:cstheme="minorHAnsi"/>
          <w:sz w:val="26"/>
          <w:szCs w:val="26"/>
        </w:rPr>
      </w:pPr>
      <w:r w:rsidRPr="00FE14F6">
        <w:rPr>
          <w:rFonts w:asciiTheme="minorHAnsi" w:hAnsiTheme="minorHAnsi" w:cstheme="minorHAnsi"/>
          <w:sz w:val="26"/>
          <w:szCs w:val="26"/>
        </w:rPr>
        <w:t>More open space and recreation areas, generally considered valuable amenities, are included in the design.</w:t>
      </w:r>
    </w:p>
    <w:p w14:paraId="3CFB9A78" w14:textId="579239D8" w:rsidR="00923C8E" w:rsidRDefault="00923C8E" w:rsidP="00923C8E">
      <w:pPr>
        <w:rPr>
          <w:rFonts w:asciiTheme="minorHAnsi" w:hAnsiTheme="minorHAnsi" w:cstheme="minorHAnsi"/>
          <w:sz w:val="26"/>
          <w:szCs w:val="26"/>
        </w:rPr>
      </w:pPr>
    </w:p>
    <w:p w14:paraId="2A8CFDB0" w14:textId="77777777" w:rsidR="00F359AF" w:rsidRDefault="00F359AF" w:rsidP="00F359AF">
      <w:pPr>
        <w:jc w:val="center"/>
        <w:rPr>
          <w:rFonts w:asciiTheme="minorHAnsi" w:hAnsiTheme="minorHAnsi" w:cstheme="minorHAnsi"/>
          <w:sz w:val="26"/>
          <w:szCs w:val="26"/>
        </w:rPr>
      </w:pPr>
      <w:r w:rsidRPr="0038488F">
        <w:rPr>
          <w:noProof/>
        </w:rPr>
        <mc:AlternateContent>
          <mc:Choice Requires="wps">
            <w:drawing>
              <wp:inline distT="0" distB="0" distL="0" distR="0" wp14:anchorId="33DF1BDE" wp14:editId="1B6579D3">
                <wp:extent cx="4572000" cy="943661"/>
                <wp:effectExtent l="0" t="0" r="19050" b="27940"/>
                <wp:docPr id="6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43661"/>
                        </a:xfrm>
                        <a:prstGeom prst="rect">
                          <a:avLst/>
                        </a:prstGeom>
                        <a:noFill/>
                        <a:ln>
                          <a:solidFill>
                            <a:schemeClr val="tx1"/>
                          </a:solidFill>
                        </a:ln>
                      </wps:spPr>
                      <wps:txbx>
                        <w:txbxContent>
                          <w:p w14:paraId="64A9DC8F" w14:textId="35AB13FA" w:rsidR="00923C8E" w:rsidRPr="0083637F" w:rsidRDefault="0083637F" w:rsidP="00923C8E">
                            <w:pPr>
                              <w:pStyle w:val="RFLTextboxbody"/>
                              <w:rPr>
                                <w:rFonts w:asciiTheme="minorHAnsi" w:hAnsiTheme="minorHAnsi" w:cstheme="minorHAnsi"/>
                                <w:sz w:val="22"/>
                                <w:szCs w:val="22"/>
                              </w:rPr>
                            </w:pPr>
                            <w:r>
                              <w:rPr>
                                <w:rFonts w:asciiTheme="minorHAnsi" w:hAnsiTheme="minorHAnsi" w:cstheme="minorHAnsi"/>
                                <w:b/>
                                <w:sz w:val="22"/>
                                <w:szCs w:val="22"/>
                              </w:rPr>
                              <w:t xml:space="preserve">Subdivisions and Flood Hazards. </w:t>
                            </w:r>
                            <w:proofErr w:type="gramStart"/>
                            <w:r w:rsidR="00923C8E" w:rsidRPr="0083637F">
                              <w:rPr>
                                <w:rFonts w:asciiTheme="minorHAnsi" w:hAnsiTheme="minorHAnsi" w:cstheme="minorHAnsi"/>
                                <w:sz w:val="22"/>
                                <w:szCs w:val="22"/>
                              </w:rPr>
                              <w:t xml:space="preserve">The American Planning Association’s 2016 PAS Report 584, </w:t>
                            </w:r>
                            <w:r w:rsidR="00923C8E" w:rsidRPr="0083637F">
                              <w:rPr>
                                <w:rFonts w:asciiTheme="minorHAnsi" w:hAnsiTheme="minorHAnsi" w:cstheme="minorHAnsi"/>
                                <w:i/>
                                <w:sz w:val="22"/>
                                <w:szCs w:val="22"/>
                              </w:rPr>
                              <w:t>Subdivision Design and Flood Hazards</w:t>
                            </w:r>
                            <w:r w:rsidR="00923C8E" w:rsidRPr="0083637F">
                              <w:rPr>
                                <w:rFonts w:asciiTheme="minorHAnsi" w:hAnsiTheme="minorHAnsi" w:cstheme="minorHAnsi"/>
                                <w:sz w:val="22"/>
                                <w:szCs w:val="22"/>
                              </w:rPr>
                              <w:t>,</w:t>
                            </w:r>
                            <w:proofErr w:type="gramEnd"/>
                            <w:r w:rsidR="00923C8E" w:rsidRPr="0083637F">
                              <w:rPr>
                                <w:rFonts w:asciiTheme="minorHAnsi" w:hAnsiTheme="minorHAnsi" w:cstheme="minorHAnsi"/>
                                <w:sz w:val="22"/>
                                <w:szCs w:val="22"/>
                              </w:rPr>
                              <w:t xml:space="preserve"> complements the 1997 PAS Report 473, </w:t>
                            </w:r>
                            <w:r w:rsidR="00923C8E" w:rsidRPr="0083637F">
                              <w:rPr>
                                <w:rFonts w:asciiTheme="minorHAnsi" w:hAnsiTheme="minorHAnsi" w:cstheme="minorHAnsi"/>
                                <w:i/>
                                <w:sz w:val="22"/>
                                <w:szCs w:val="22"/>
                              </w:rPr>
                              <w:t>Subdivision Design in Flood Hazard Areas.</w:t>
                            </w:r>
                            <w:r w:rsidR="00923C8E" w:rsidRPr="0083637F">
                              <w:rPr>
                                <w:rFonts w:asciiTheme="minorHAnsi" w:hAnsiTheme="minorHAnsi" w:cstheme="minorHAnsi"/>
                                <w:sz w:val="22"/>
                                <w:szCs w:val="22"/>
                              </w:rPr>
                              <w:t xml:space="preserve"> The newer report reflects a more comprehensive approach to reducing flood risks through subdivision planning and design. </w:t>
                            </w:r>
                          </w:p>
                        </w:txbxContent>
                      </wps:txbx>
                      <wps:bodyPr rot="0" vert="horz" wrap="square" lIns="91440" tIns="45720" rIns="91440" bIns="45720" anchor="t" anchorCtr="0" upright="1">
                        <a:noAutofit/>
                      </wps:bodyPr>
                    </wps:wsp>
                  </a:graphicData>
                </a:graphic>
              </wp:inline>
            </w:drawing>
          </mc:Choice>
          <mc:Fallback>
            <w:pict>
              <v:shape w14:anchorId="33DF1BDE" id="Text Box 234" o:spid="_x0000_s1028" type="#_x0000_t202" style="width:5in;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" filled="f" strokecolor="black [3213]">
                <v:textbox>
                  <w:txbxContent>
                    <w:p w14:paraId="64A9DC8F" w14:textId="35AB13FA" w:rsidR="00923C8E" w:rsidRPr="0083637F" w:rsidRDefault="0083637F" w:rsidP="00923C8E">
                      <w:pPr>
                        <w:pStyle w:val="RFLTextboxbody"/>
                        <w:rPr>
                          <w:rFonts w:asciiTheme="minorHAnsi" w:hAnsiTheme="minorHAnsi" w:cstheme="minorHAnsi"/>
                          <w:sz w:val="22"/>
                          <w:szCs w:val="22"/>
                        </w:rPr>
                      </w:pPr>
                      <w:r>
                        <w:rPr>
                          <w:rFonts w:asciiTheme="minorHAnsi" w:hAnsiTheme="minorHAnsi" w:cstheme="minorHAnsi"/>
                          <w:b/>
                          <w:sz w:val="22"/>
                          <w:szCs w:val="22"/>
                        </w:rPr>
                        <w:t xml:space="preserve">Subdivisions and Flood Hazards. </w:t>
                      </w:r>
                      <w:proofErr w:type="gramStart"/>
                      <w:r w:rsidR="00923C8E" w:rsidRPr="0083637F">
                        <w:rPr>
                          <w:rFonts w:asciiTheme="minorHAnsi" w:hAnsiTheme="minorHAnsi" w:cstheme="minorHAnsi"/>
                          <w:sz w:val="22"/>
                          <w:szCs w:val="22"/>
                        </w:rPr>
                        <w:t xml:space="preserve">The American Planning Association’s 2016 PAS Report 584, </w:t>
                      </w:r>
                      <w:r w:rsidR="00923C8E" w:rsidRPr="0083637F">
                        <w:rPr>
                          <w:rFonts w:asciiTheme="minorHAnsi" w:hAnsiTheme="minorHAnsi" w:cstheme="minorHAnsi"/>
                          <w:i/>
                          <w:sz w:val="22"/>
                          <w:szCs w:val="22"/>
                        </w:rPr>
                        <w:t>Subdivision Design and Flood Hazards</w:t>
                      </w:r>
                      <w:r w:rsidR="00923C8E" w:rsidRPr="0083637F">
                        <w:rPr>
                          <w:rFonts w:asciiTheme="minorHAnsi" w:hAnsiTheme="minorHAnsi" w:cstheme="minorHAnsi"/>
                          <w:sz w:val="22"/>
                          <w:szCs w:val="22"/>
                        </w:rPr>
                        <w:t>,</w:t>
                      </w:r>
                      <w:proofErr w:type="gramEnd"/>
                      <w:r w:rsidR="00923C8E" w:rsidRPr="0083637F">
                        <w:rPr>
                          <w:rFonts w:asciiTheme="minorHAnsi" w:hAnsiTheme="minorHAnsi" w:cstheme="minorHAnsi"/>
                          <w:sz w:val="22"/>
                          <w:szCs w:val="22"/>
                        </w:rPr>
                        <w:t xml:space="preserve"> complements the 1997 PAS Report 473, </w:t>
                      </w:r>
                      <w:r w:rsidR="00923C8E" w:rsidRPr="0083637F">
                        <w:rPr>
                          <w:rFonts w:asciiTheme="minorHAnsi" w:hAnsiTheme="minorHAnsi" w:cstheme="minorHAnsi"/>
                          <w:i/>
                          <w:sz w:val="22"/>
                          <w:szCs w:val="22"/>
                        </w:rPr>
                        <w:t>Subdivision Design in Flood Hazard Areas.</w:t>
                      </w:r>
                      <w:r w:rsidR="00923C8E" w:rsidRPr="0083637F">
                        <w:rPr>
                          <w:rFonts w:asciiTheme="minorHAnsi" w:hAnsiTheme="minorHAnsi" w:cstheme="minorHAnsi"/>
                          <w:sz w:val="22"/>
                          <w:szCs w:val="22"/>
                        </w:rPr>
                        <w:t xml:space="preserve"> The newer report reflects a more comprehensive approach to reducing flood risks through subdivision planning and design. </w:t>
                      </w:r>
                    </w:p>
                  </w:txbxContent>
                </v:textbox>
                <w10:anchorlock/>
              </v:shape>
            </w:pict>
          </mc:Fallback>
        </mc:AlternateContent>
      </w:r>
    </w:p>
    <w:p w14:paraId="0C286BCE" w14:textId="77777777" w:rsidR="00F359AF" w:rsidRDefault="00F359AF" w:rsidP="00923C8E">
      <w:pPr>
        <w:rPr>
          <w:rFonts w:asciiTheme="minorHAnsi" w:hAnsiTheme="minorHAnsi" w:cstheme="minorHAnsi"/>
          <w:sz w:val="26"/>
          <w:szCs w:val="26"/>
        </w:rPr>
      </w:pPr>
    </w:p>
    <w:p w14:paraId="39D3BF73" w14:textId="2C1CBBAA" w:rsidR="00C922E3" w:rsidRDefault="00923C8E" w:rsidP="00F359AF">
      <w:pPr>
        <w:rPr>
          <w:rFonts w:asciiTheme="minorHAnsi" w:hAnsiTheme="minorHAnsi" w:cstheme="minorHAnsi"/>
          <w:sz w:val="26"/>
          <w:szCs w:val="26"/>
        </w:rPr>
      </w:pPr>
      <w:r w:rsidRPr="00923C8E">
        <w:rPr>
          <w:rFonts w:asciiTheme="minorHAnsi" w:hAnsiTheme="minorHAnsi" w:cstheme="minorHAnsi"/>
          <w:sz w:val="26"/>
          <w:szCs w:val="26"/>
        </w:rPr>
        <w:t>The NFIP re</w:t>
      </w:r>
      <w:r w:rsidR="00FE14F6">
        <w:rPr>
          <w:rFonts w:asciiTheme="minorHAnsi" w:hAnsiTheme="minorHAnsi" w:cstheme="minorHAnsi"/>
          <w:sz w:val="26"/>
          <w:szCs w:val="26"/>
        </w:rPr>
        <w:t>gulations</w:t>
      </w:r>
      <w:r w:rsidRPr="00923C8E">
        <w:rPr>
          <w:rFonts w:asciiTheme="minorHAnsi" w:hAnsiTheme="minorHAnsi" w:cstheme="minorHAnsi"/>
          <w:sz w:val="26"/>
          <w:szCs w:val="26"/>
        </w:rPr>
        <w:t xml:space="preserve"> do not specify how subdivisions are laid out</w:t>
      </w:r>
      <w:r w:rsidR="00D75305">
        <w:rPr>
          <w:rFonts w:asciiTheme="minorHAnsi" w:hAnsiTheme="minorHAnsi" w:cstheme="minorHAnsi"/>
          <w:sz w:val="26"/>
          <w:szCs w:val="26"/>
        </w:rPr>
        <w:t xml:space="preserve"> when some or </w:t>
      </w:r>
      <w:proofErr w:type="gramStart"/>
      <w:r w:rsidR="00D75305">
        <w:rPr>
          <w:rFonts w:asciiTheme="minorHAnsi" w:hAnsiTheme="minorHAnsi" w:cstheme="minorHAnsi"/>
          <w:sz w:val="26"/>
          <w:szCs w:val="26"/>
        </w:rPr>
        <w:t>all of</w:t>
      </w:r>
      <w:proofErr w:type="gramEnd"/>
      <w:r w:rsidR="00D75305">
        <w:rPr>
          <w:rFonts w:asciiTheme="minorHAnsi" w:hAnsiTheme="minorHAnsi" w:cstheme="minorHAnsi"/>
          <w:sz w:val="26"/>
          <w:szCs w:val="26"/>
        </w:rPr>
        <w:t xml:space="preserve"> the area being subdivision is in the SFHA</w:t>
      </w:r>
      <w:r w:rsidRPr="00923C8E">
        <w:rPr>
          <w:rFonts w:asciiTheme="minorHAnsi" w:hAnsiTheme="minorHAnsi" w:cstheme="minorHAnsi"/>
          <w:sz w:val="26"/>
          <w:szCs w:val="26"/>
        </w:rPr>
        <w:t>. The only</w:t>
      </w:r>
      <w:r w:rsidR="00D75305">
        <w:rPr>
          <w:rFonts w:asciiTheme="minorHAnsi" w:hAnsiTheme="minorHAnsi" w:cstheme="minorHAnsi"/>
          <w:sz w:val="26"/>
          <w:szCs w:val="26"/>
        </w:rPr>
        <w:t xml:space="preserve"> NFIP</w:t>
      </w:r>
      <w:r w:rsidRPr="00923C8E">
        <w:rPr>
          <w:rFonts w:asciiTheme="minorHAnsi" w:hAnsiTheme="minorHAnsi" w:cstheme="minorHAnsi"/>
          <w:sz w:val="26"/>
          <w:szCs w:val="26"/>
        </w:rPr>
        <w:t xml:space="preserve"> requirement applies where </w:t>
      </w:r>
      <w:r w:rsidR="00FE14F6">
        <w:rPr>
          <w:rFonts w:asciiTheme="minorHAnsi" w:hAnsiTheme="minorHAnsi" w:cstheme="minorHAnsi"/>
          <w:sz w:val="26"/>
          <w:szCs w:val="26"/>
        </w:rPr>
        <w:t xml:space="preserve">base </w:t>
      </w:r>
      <w:r w:rsidR="00FE14F6">
        <w:rPr>
          <w:rFonts w:asciiTheme="minorHAnsi" w:hAnsiTheme="minorHAnsi" w:cstheme="minorHAnsi"/>
          <w:sz w:val="26"/>
          <w:szCs w:val="26"/>
        </w:rPr>
        <w:lastRenderedPageBreak/>
        <w:t>flood elevations (</w:t>
      </w:r>
      <w:r w:rsidRPr="00923C8E">
        <w:rPr>
          <w:rFonts w:asciiTheme="minorHAnsi" w:hAnsiTheme="minorHAnsi" w:cstheme="minorHAnsi"/>
          <w:sz w:val="26"/>
          <w:szCs w:val="26"/>
        </w:rPr>
        <w:t>BFEs</w:t>
      </w:r>
      <w:r w:rsidR="00FE14F6">
        <w:rPr>
          <w:rFonts w:asciiTheme="minorHAnsi" w:hAnsiTheme="minorHAnsi" w:cstheme="minorHAnsi"/>
          <w:sz w:val="26"/>
          <w:szCs w:val="26"/>
        </w:rPr>
        <w:t>)</w:t>
      </w:r>
      <w:r w:rsidRPr="00923C8E">
        <w:rPr>
          <w:rFonts w:asciiTheme="minorHAnsi" w:hAnsiTheme="minorHAnsi" w:cstheme="minorHAnsi"/>
          <w:sz w:val="26"/>
          <w:szCs w:val="26"/>
        </w:rPr>
        <w:t xml:space="preserve"> are not provided on FIRMs, in which case communities must require applicants for new subdivisions (including manufactured homes parks and subdivisions) and other proposals to include BFEs when </w:t>
      </w:r>
      <w:r w:rsidR="00FE14F6">
        <w:rPr>
          <w:rFonts w:asciiTheme="minorHAnsi" w:hAnsiTheme="minorHAnsi" w:cstheme="minorHAnsi"/>
          <w:sz w:val="26"/>
          <w:szCs w:val="26"/>
        </w:rPr>
        <w:t xml:space="preserve">subdivisions and developments </w:t>
      </w:r>
      <w:r w:rsidRPr="00923C8E">
        <w:rPr>
          <w:rFonts w:asciiTheme="minorHAnsi" w:hAnsiTheme="minorHAnsi" w:cstheme="minorHAnsi"/>
          <w:sz w:val="26"/>
          <w:szCs w:val="26"/>
        </w:rPr>
        <w:t>include more than 50 lots or involve more than 5 acres, whichever is the lesser.</w:t>
      </w:r>
    </w:p>
    <w:p w14:paraId="65582992" w14:textId="77777777" w:rsidR="00F359AF" w:rsidRPr="00F359AF" w:rsidRDefault="00F359AF" w:rsidP="00F359AF">
      <w:pPr>
        <w:rPr>
          <w:rFonts w:asciiTheme="minorHAnsi" w:hAnsiTheme="minorHAnsi" w:cstheme="minorHAnsi"/>
          <w:sz w:val="26"/>
          <w:szCs w:val="26"/>
        </w:rPr>
      </w:pPr>
    </w:p>
    <w:p w14:paraId="25FBA7A1" w14:textId="474209D7" w:rsidR="002800CB" w:rsidRPr="002800CB" w:rsidRDefault="002800CB" w:rsidP="000225FA">
      <w:pPr>
        <w:rPr>
          <w:rFonts w:asciiTheme="minorHAnsi" w:hAnsiTheme="minorHAnsi" w:cstheme="minorHAnsi"/>
          <w:sz w:val="26"/>
          <w:szCs w:val="26"/>
        </w:rPr>
      </w:pPr>
      <w:r>
        <w:rPr>
          <w:rFonts w:asciiTheme="minorHAnsi" w:hAnsiTheme="minorHAnsi" w:cstheme="minorHAnsi"/>
          <w:b/>
          <w:sz w:val="26"/>
          <w:szCs w:val="26"/>
          <w:u w:val="single"/>
        </w:rPr>
        <w:t>How local floodplain management regulations specify subdivision requirements:</w:t>
      </w:r>
      <w:r>
        <w:rPr>
          <w:rFonts w:asciiTheme="minorHAnsi" w:hAnsiTheme="minorHAnsi" w:cstheme="minorHAnsi"/>
          <w:sz w:val="26"/>
          <w:szCs w:val="26"/>
        </w:rPr>
        <w:t xml:space="preserve"> Local regulations apply to all subdivisions in SFHAs, including manufactured home parks and subdivisions.  </w:t>
      </w:r>
      <w:r w:rsidR="00FA7819">
        <w:rPr>
          <w:rFonts w:asciiTheme="minorHAnsi" w:hAnsiTheme="minorHAnsi" w:cstheme="minorHAnsi"/>
          <w:sz w:val="26"/>
          <w:szCs w:val="26"/>
        </w:rPr>
        <w:t>Flood hazard information must be shown on preliminary subdivision plats and w</w:t>
      </w:r>
      <w:r>
        <w:rPr>
          <w:rFonts w:asciiTheme="minorHAnsi" w:hAnsiTheme="minorHAnsi" w:cstheme="minorHAnsi"/>
          <w:sz w:val="26"/>
          <w:szCs w:val="26"/>
        </w:rPr>
        <w:t>hen subdivision proposals have more than 50 lots or is larger than 5 acres and BFEs are not including on FIRMs, applicants are required to include BFEs in their applications.</w:t>
      </w:r>
    </w:p>
    <w:p w14:paraId="2677A7E0" w14:textId="77777777" w:rsidR="002800CB" w:rsidRDefault="002800CB" w:rsidP="000225FA">
      <w:pPr>
        <w:rPr>
          <w:rFonts w:asciiTheme="minorHAnsi" w:hAnsiTheme="minorHAnsi" w:cstheme="minorHAnsi"/>
          <w:b/>
          <w:sz w:val="26"/>
          <w:szCs w:val="26"/>
          <w:u w:val="single"/>
        </w:rPr>
      </w:pPr>
    </w:p>
    <w:p w14:paraId="1C64D7D2" w14:textId="425A8A47" w:rsidR="00076A36"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9C582C">
        <w:rPr>
          <w:rFonts w:asciiTheme="minorHAnsi" w:hAnsiTheme="minorHAnsi" w:cstheme="minorHAnsi"/>
          <w:b/>
          <w:sz w:val="26"/>
          <w:szCs w:val="26"/>
          <w:u w:val="single"/>
        </w:rPr>
        <w:t>Part 2</w:t>
      </w:r>
      <w:r w:rsidRPr="009F2B59">
        <w:rPr>
          <w:rFonts w:asciiTheme="minorHAnsi" w:hAnsiTheme="minorHAnsi" w:cstheme="minorHAnsi"/>
          <w:b/>
          <w:sz w:val="26"/>
          <w:szCs w:val="26"/>
          <w:u w:val="single"/>
        </w:rPr>
        <w:t xml:space="preserve"> </w:t>
      </w:r>
      <w:r w:rsidR="00BC770C">
        <w:rPr>
          <w:rFonts w:asciiTheme="minorHAnsi" w:hAnsiTheme="minorHAnsi" w:cstheme="minorHAnsi"/>
          <w:b/>
          <w:sz w:val="26"/>
          <w:szCs w:val="26"/>
          <w:u w:val="single"/>
        </w:rPr>
        <w:t xml:space="preserve">Appendix G </w:t>
      </w:r>
      <w:r w:rsidRPr="009F2B59">
        <w:rPr>
          <w:rFonts w:asciiTheme="minorHAnsi" w:hAnsiTheme="minorHAnsi" w:cstheme="minorHAnsi"/>
          <w:b/>
          <w:sz w:val="26"/>
          <w:szCs w:val="26"/>
          <w:u w:val="single"/>
        </w:rPr>
        <w:t xml:space="preserve">specifies </w:t>
      </w:r>
      <w:r w:rsidR="00923C8E">
        <w:rPr>
          <w:rFonts w:asciiTheme="minorHAnsi" w:hAnsiTheme="minorHAnsi" w:cstheme="minorHAnsi"/>
          <w:b/>
          <w:sz w:val="26"/>
          <w:szCs w:val="26"/>
          <w:u w:val="single"/>
        </w:rPr>
        <w:t>subdivision limitations</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9C582C">
        <w:rPr>
          <w:rFonts w:asciiTheme="minorHAnsi" w:hAnsiTheme="minorHAnsi" w:cstheme="minorHAnsi"/>
          <w:sz w:val="26"/>
          <w:szCs w:val="26"/>
        </w:rPr>
        <w:t xml:space="preserve">Part 2 </w:t>
      </w:r>
      <w:r w:rsidR="00923C8E" w:rsidRPr="00923C8E">
        <w:rPr>
          <w:rFonts w:asciiTheme="minorHAnsi" w:hAnsiTheme="minorHAnsi" w:cstheme="minorHAnsi"/>
          <w:sz w:val="26"/>
          <w:szCs w:val="26"/>
        </w:rPr>
        <w:t>Appendix G requires all subdivision proposals</w:t>
      </w:r>
      <w:r w:rsidR="00FE14F6">
        <w:rPr>
          <w:rFonts w:asciiTheme="minorHAnsi" w:hAnsiTheme="minorHAnsi" w:cstheme="minorHAnsi"/>
          <w:sz w:val="26"/>
          <w:szCs w:val="26"/>
        </w:rPr>
        <w:t>, regardless of number of lots or size,</w:t>
      </w:r>
      <w:r w:rsidR="00923C8E" w:rsidRPr="00923C8E">
        <w:rPr>
          <w:rFonts w:asciiTheme="minorHAnsi" w:hAnsiTheme="minorHAnsi" w:cstheme="minorHAnsi"/>
          <w:sz w:val="26"/>
          <w:szCs w:val="26"/>
        </w:rPr>
        <w:t xml:space="preserve"> to include </w:t>
      </w:r>
      <w:r w:rsidR="00FE14F6">
        <w:rPr>
          <w:rFonts w:asciiTheme="minorHAnsi" w:hAnsiTheme="minorHAnsi" w:cstheme="minorHAnsi"/>
          <w:sz w:val="26"/>
          <w:szCs w:val="26"/>
        </w:rPr>
        <w:t>design flood elevations (</w:t>
      </w:r>
      <w:r w:rsidR="00923C8E" w:rsidRPr="00923C8E">
        <w:rPr>
          <w:rFonts w:asciiTheme="minorHAnsi" w:hAnsiTheme="minorHAnsi" w:cstheme="minorHAnsi"/>
          <w:sz w:val="26"/>
          <w:szCs w:val="26"/>
        </w:rPr>
        <w:t>DFEs</w:t>
      </w:r>
      <w:r w:rsidR="00FE14F6">
        <w:rPr>
          <w:rFonts w:asciiTheme="minorHAnsi" w:hAnsiTheme="minorHAnsi" w:cstheme="minorHAnsi"/>
          <w:sz w:val="26"/>
          <w:szCs w:val="26"/>
        </w:rPr>
        <w:t>)</w:t>
      </w:r>
      <w:r w:rsidR="00923C8E" w:rsidRPr="00923C8E">
        <w:rPr>
          <w:rFonts w:asciiTheme="minorHAnsi" w:hAnsiTheme="minorHAnsi" w:cstheme="minorHAnsi"/>
          <w:sz w:val="26"/>
          <w:szCs w:val="26"/>
        </w:rPr>
        <w:t xml:space="preserve"> on tentative and final plats. </w:t>
      </w:r>
      <w:r w:rsidR="001150DA">
        <w:rPr>
          <w:rFonts w:asciiTheme="minorHAnsi" w:hAnsiTheme="minorHAnsi" w:cstheme="minorHAnsi"/>
          <w:sz w:val="26"/>
          <w:szCs w:val="26"/>
        </w:rPr>
        <w:t>(</w:t>
      </w:r>
      <w:r w:rsidR="00FE14F6">
        <w:rPr>
          <w:rFonts w:asciiTheme="minorHAnsi" w:hAnsiTheme="minorHAnsi" w:cstheme="minorHAnsi"/>
          <w:sz w:val="26"/>
          <w:szCs w:val="26"/>
        </w:rPr>
        <w:t>Remember, DFEs equal BFEs when the FEMA FIRMs are used to define flood hazard areas.</w:t>
      </w:r>
      <w:r w:rsidR="001150DA">
        <w:rPr>
          <w:rFonts w:asciiTheme="minorHAnsi" w:hAnsiTheme="minorHAnsi" w:cstheme="minorHAnsi"/>
          <w:sz w:val="26"/>
          <w:szCs w:val="26"/>
        </w:rPr>
        <w:t>)</w:t>
      </w:r>
      <w:r w:rsidR="00FE14F6">
        <w:rPr>
          <w:rFonts w:asciiTheme="minorHAnsi" w:hAnsiTheme="minorHAnsi" w:cstheme="minorHAnsi"/>
          <w:sz w:val="26"/>
          <w:szCs w:val="26"/>
        </w:rPr>
        <w:t xml:space="preserve"> When other maps are used, DFEs are the elevations specified on those maps.</w:t>
      </w:r>
      <w:r w:rsidR="00C15A0B">
        <w:rPr>
          <w:rFonts w:asciiTheme="minorHAnsi" w:hAnsiTheme="minorHAnsi" w:cstheme="minorHAnsi"/>
          <w:sz w:val="26"/>
          <w:szCs w:val="26"/>
        </w:rPr>
        <w:t xml:space="preserve">  </w:t>
      </w:r>
      <w:r w:rsidR="009C582C">
        <w:rPr>
          <w:rFonts w:asciiTheme="minorHAnsi" w:hAnsiTheme="minorHAnsi" w:cstheme="minorHAnsi"/>
          <w:sz w:val="26"/>
          <w:szCs w:val="26"/>
        </w:rPr>
        <w:t xml:space="preserve">Part 2 </w:t>
      </w:r>
      <w:r w:rsidR="00C15A0B">
        <w:rPr>
          <w:rFonts w:asciiTheme="minorHAnsi" w:hAnsiTheme="minorHAnsi" w:cstheme="minorHAnsi"/>
          <w:sz w:val="26"/>
          <w:szCs w:val="26"/>
        </w:rPr>
        <w:t>Appendix G also requires residential building lots to have buildable areas outside of floodways.</w:t>
      </w:r>
    </w:p>
    <w:p w14:paraId="34BD7F08" w14:textId="77777777" w:rsidR="00923C8E" w:rsidRDefault="00923C8E" w:rsidP="00A93BCD"/>
    <w:p w14:paraId="54724903" w14:textId="144BA31E"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21D088FD" w14:textId="1CC3FA5E" w:rsidR="00FA7819" w:rsidRDefault="00654602" w:rsidP="00FA7819">
      <w:pPr>
        <w:widowControl/>
        <w:rPr>
          <w:rFonts w:ascii="Arial" w:hAnsi="Arial" w:cs="Arial"/>
          <w:bCs/>
          <w:iCs/>
          <w:sz w:val="22"/>
          <w:szCs w:val="22"/>
        </w:rPr>
      </w:pPr>
      <w:r>
        <w:rPr>
          <w:rFonts w:ascii="Arial" w:hAnsi="Arial" w:cs="Arial"/>
          <w:b/>
          <w:bCs/>
          <w:iCs/>
          <w:sz w:val="22"/>
          <w:szCs w:val="22"/>
        </w:rPr>
        <w:t xml:space="preserve">Modify Local Regulations. </w:t>
      </w:r>
      <w:r w:rsidR="00FA7819">
        <w:rPr>
          <w:rFonts w:ascii="Arial" w:hAnsi="Arial" w:cs="Arial"/>
          <w:bCs/>
          <w:iCs/>
          <w:sz w:val="22"/>
          <w:szCs w:val="22"/>
        </w:rPr>
        <w:t>Two options to local floodplain management regulations are shown (based on the DWR model ordinance). Option 1 requires flood hazard areas to be reserved for open space and not included in individual platted lots, and Option 2 requires buildable areas to be outside of flood hazard areas</w:t>
      </w:r>
    </w:p>
    <w:p w14:paraId="5824271A" w14:textId="77777777" w:rsidR="00FA7819" w:rsidRDefault="00FA7819" w:rsidP="00FA7819">
      <w:pPr>
        <w:widowControl/>
        <w:rPr>
          <w:rFonts w:ascii="Arial" w:hAnsi="Arial" w:cs="Arial"/>
          <w:bCs/>
          <w:iCs/>
          <w:sz w:val="22"/>
          <w:szCs w:val="22"/>
        </w:rPr>
      </w:pPr>
    </w:p>
    <w:p w14:paraId="7DFCFE70" w14:textId="77777777" w:rsidR="00FA7819" w:rsidRPr="00BC770C" w:rsidRDefault="00FA7819" w:rsidP="00FA7819">
      <w:pPr>
        <w:widowControl/>
        <w:rPr>
          <w:rFonts w:ascii="Arial" w:hAnsi="Arial" w:cs="Arial"/>
          <w:b/>
          <w:bCs/>
          <w:iCs/>
          <w:sz w:val="22"/>
          <w:szCs w:val="22"/>
        </w:rPr>
      </w:pPr>
      <w:r w:rsidRPr="00BC770C">
        <w:rPr>
          <w:rFonts w:ascii="Arial" w:hAnsi="Arial" w:cs="Arial"/>
          <w:b/>
          <w:bCs/>
          <w:iCs/>
          <w:sz w:val="22"/>
          <w:szCs w:val="22"/>
        </w:rPr>
        <w:t>Option 1. Use this amendment to reserve flood hazard areas for open space (obviating the need to determine BFEs if not shown on the FIRM).</w:t>
      </w:r>
    </w:p>
    <w:p w14:paraId="6DBA0166" w14:textId="77777777" w:rsidR="00FA7819" w:rsidRPr="00923C8E" w:rsidRDefault="00FA7819" w:rsidP="00FA7819">
      <w:pPr>
        <w:widowControl/>
        <w:tabs>
          <w:tab w:val="left" w:pos="2595"/>
        </w:tabs>
        <w:rPr>
          <w:rFonts w:ascii="Arial" w:hAnsi="Arial" w:cs="Arial"/>
          <w:b/>
          <w:bCs/>
          <w:i/>
          <w:iCs/>
          <w:sz w:val="22"/>
          <w:szCs w:val="22"/>
        </w:rPr>
      </w:pPr>
      <w:r>
        <w:rPr>
          <w:rFonts w:ascii="Arial" w:hAnsi="Arial" w:cs="Arial"/>
          <w:b/>
          <w:bCs/>
          <w:i/>
          <w:iCs/>
          <w:sz w:val="22"/>
          <w:szCs w:val="22"/>
        </w:rPr>
        <w:tab/>
      </w:r>
    </w:p>
    <w:tbl>
      <w:tblPr>
        <w:tblStyle w:val="TableGrid"/>
        <w:tblW w:w="0" w:type="auto"/>
        <w:tblInd w:w="738" w:type="dxa"/>
        <w:tblLook w:val="04A0" w:firstRow="1" w:lastRow="0" w:firstColumn="1" w:lastColumn="0" w:noHBand="0" w:noVBand="1"/>
      </w:tblPr>
      <w:tblGrid>
        <w:gridCol w:w="8370"/>
      </w:tblGrid>
      <w:tr w:rsidR="00FA7819" w14:paraId="348CC445" w14:textId="77777777" w:rsidTr="00C72238">
        <w:tc>
          <w:tcPr>
            <w:tcW w:w="8370" w:type="dxa"/>
          </w:tcPr>
          <w:p w14:paraId="6EE61B86" w14:textId="77777777" w:rsidR="00FA7819" w:rsidRPr="00933CCF" w:rsidRDefault="00FA7819" w:rsidP="00654602">
            <w:pPr>
              <w:autoSpaceDE w:val="0"/>
              <w:autoSpaceDN w:val="0"/>
              <w:adjustRightInd w:val="0"/>
              <w:rPr>
                <w:rFonts w:ascii="Arial" w:hAnsi="Arial" w:cs="Arial"/>
                <w:sz w:val="22"/>
                <w:szCs w:val="22"/>
              </w:rPr>
            </w:pPr>
            <w:r w:rsidRPr="00933CCF">
              <w:rPr>
                <w:rFonts w:ascii="Arial" w:hAnsi="Arial" w:cs="Arial"/>
                <w:b/>
                <w:sz w:val="22"/>
                <w:szCs w:val="22"/>
              </w:rPr>
              <w:t>Sec. 3</w:t>
            </w:r>
            <w:r w:rsidRPr="00933CCF">
              <w:rPr>
                <w:rFonts w:ascii="Arial" w:hAnsi="Arial" w:cs="Arial"/>
                <w:b/>
                <w:bCs/>
                <w:sz w:val="22"/>
                <w:szCs w:val="22"/>
              </w:rPr>
              <w:t>02-1. - Minimum requirements.</w:t>
            </w:r>
            <w:r w:rsidRPr="00933CCF">
              <w:rPr>
                <w:rFonts w:ascii="Arial" w:hAnsi="Arial" w:cs="Arial"/>
                <w:sz w:val="22"/>
                <w:szCs w:val="22"/>
              </w:rPr>
              <w:t xml:space="preserve"> Subdivision proposals in flood hazard areas, including proposals for manufactured home parks and subdivisions, shall be reviewed to determine that:</w:t>
            </w:r>
          </w:p>
          <w:p w14:paraId="0CBAC59D" w14:textId="77777777" w:rsidR="00FA7819" w:rsidRPr="00933CCF" w:rsidRDefault="00FA7819" w:rsidP="00654602">
            <w:pPr>
              <w:pStyle w:val="ListParagraph"/>
              <w:numPr>
                <w:ilvl w:val="0"/>
                <w:numId w:val="26"/>
              </w:numPr>
              <w:autoSpaceDE w:val="0"/>
              <w:autoSpaceDN w:val="0"/>
              <w:adjustRightInd w:val="0"/>
              <w:spacing w:before="120"/>
              <w:rPr>
                <w:rFonts w:ascii="Arial" w:hAnsi="Arial" w:cs="Arial"/>
                <w:sz w:val="22"/>
                <w:szCs w:val="22"/>
              </w:rPr>
            </w:pPr>
            <w:r w:rsidRPr="00933CCF">
              <w:rPr>
                <w:rFonts w:ascii="Arial" w:hAnsi="Arial" w:cs="Arial"/>
                <w:sz w:val="22"/>
                <w:szCs w:val="22"/>
              </w:rPr>
              <w:t>Such proposals are consistent with the need to minimize flood damage and will be reasonably safe from flooding</w:t>
            </w:r>
            <w:r>
              <w:rPr>
                <w:rFonts w:ascii="Arial" w:hAnsi="Arial" w:cs="Arial"/>
                <w:sz w:val="22"/>
                <w:szCs w:val="22"/>
              </w:rPr>
              <w:t>.</w:t>
            </w:r>
          </w:p>
          <w:p w14:paraId="743BDB18" w14:textId="77777777" w:rsidR="00FA7819" w:rsidRPr="00933CCF" w:rsidRDefault="00FA7819" w:rsidP="00654602">
            <w:pPr>
              <w:pStyle w:val="ListParagraph"/>
              <w:numPr>
                <w:ilvl w:val="0"/>
                <w:numId w:val="26"/>
              </w:numPr>
              <w:autoSpaceDE w:val="0"/>
              <w:autoSpaceDN w:val="0"/>
              <w:adjustRightInd w:val="0"/>
              <w:spacing w:before="120"/>
              <w:rPr>
                <w:rFonts w:ascii="Arial" w:hAnsi="Arial" w:cs="Arial"/>
                <w:sz w:val="22"/>
                <w:szCs w:val="22"/>
              </w:rPr>
            </w:pPr>
            <w:r w:rsidRPr="00933CCF">
              <w:rPr>
                <w:rFonts w:ascii="Arial" w:hAnsi="Arial" w:cs="Arial"/>
                <w:sz w:val="22"/>
                <w:szCs w:val="22"/>
              </w:rPr>
              <w:t>All public utilities and facilities, such as sewer, gas, electric, communications, and water systems are located and constructed to minimize or eliminate flood damage in accordance with Section 303-2 and Section 303-3 of these regulations, as applicable, and appropriate codes</w:t>
            </w:r>
            <w:r>
              <w:rPr>
                <w:rFonts w:ascii="Arial" w:hAnsi="Arial" w:cs="Arial"/>
                <w:sz w:val="22"/>
                <w:szCs w:val="22"/>
              </w:rPr>
              <w:t>.</w:t>
            </w:r>
          </w:p>
          <w:p w14:paraId="7FFD6383" w14:textId="77777777" w:rsidR="00654602" w:rsidRDefault="00FA7819" w:rsidP="00654602">
            <w:pPr>
              <w:pStyle w:val="ListParagraph"/>
              <w:numPr>
                <w:ilvl w:val="0"/>
                <w:numId w:val="26"/>
              </w:numPr>
              <w:autoSpaceDE w:val="0"/>
              <w:autoSpaceDN w:val="0"/>
              <w:adjustRightInd w:val="0"/>
              <w:spacing w:before="120"/>
              <w:rPr>
                <w:rFonts w:ascii="Arial" w:hAnsi="Arial" w:cs="Arial"/>
                <w:sz w:val="22"/>
                <w:szCs w:val="22"/>
              </w:rPr>
            </w:pPr>
            <w:r w:rsidRPr="00933CCF">
              <w:rPr>
                <w:rFonts w:ascii="Arial" w:hAnsi="Arial" w:cs="Arial"/>
                <w:sz w:val="22"/>
                <w:szCs w:val="22"/>
              </w:rPr>
              <w:t>Adequate drainage is provided to reduce exposure to flood hazards; in Zones AH and AO, adequate drainage paths shall be provided to guide floodwater around and away from proposed structures.</w:t>
            </w:r>
          </w:p>
          <w:p w14:paraId="5510A403" w14:textId="36DF8948" w:rsidR="00654602" w:rsidRPr="00654602" w:rsidRDefault="00654602" w:rsidP="00654602">
            <w:pPr>
              <w:pStyle w:val="ListParagraph"/>
              <w:numPr>
                <w:ilvl w:val="0"/>
                <w:numId w:val="26"/>
              </w:numPr>
              <w:autoSpaceDE w:val="0"/>
              <w:autoSpaceDN w:val="0"/>
              <w:adjustRightInd w:val="0"/>
              <w:spacing w:before="120"/>
              <w:rPr>
                <w:rFonts w:ascii="Arial" w:hAnsi="Arial" w:cs="Arial"/>
                <w:sz w:val="22"/>
                <w:szCs w:val="22"/>
              </w:rPr>
            </w:pPr>
            <w:r w:rsidRPr="00654602">
              <w:rPr>
                <w:rFonts w:ascii="Arial" w:hAnsi="Arial" w:cs="Arial"/>
                <w:sz w:val="22"/>
                <w:u w:val="single"/>
              </w:rPr>
              <w:t>Flood hazard areas shall be restricted to open space uses and not included in individual platted lots.</w:t>
            </w:r>
            <w:r w:rsidRPr="00654602">
              <w:rPr>
                <w:rFonts w:ascii="Arial" w:hAnsi="Arial" w:cs="Arial"/>
                <w:sz w:val="22"/>
              </w:rPr>
              <w:t xml:space="preserve"> </w:t>
            </w:r>
          </w:p>
          <w:p w14:paraId="3CFA1723" w14:textId="77777777" w:rsidR="00FA7819" w:rsidRPr="00933CCF" w:rsidRDefault="00FA7819" w:rsidP="00654602">
            <w:pPr>
              <w:autoSpaceDE w:val="0"/>
              <w:autoSpaceDN w:val="0"/>
              <w:adjustRightInd w:val="0"/>
              <w:rPr>
                <w:rFonts w:ascii="Arial" w:hAnsi="Arial" w:cs="Arial"/>
                <w:b/>
                <w:bCs/>
                <w:sz w:val="22"/>
                <w:szCs w:val="22"/>
              </w:rPr>
            </w:pPr>
          </w:p>
          <w:p w14:paraId="61567713" w14:textId="77777777" w:rsidR="00FA7819" w:rsidRPr="00654602" w:rsidRDefault="00FA7819" w:rsidP="00654602">
            <w:pPr>
              <w:autoSpaceDE w:val="0"/>
              <w:autoSpaceDN w:val="0"/>
              <w:adjustRightInd w:val="0"/>
              <w:rPr>
                <w:rFonts w:ascii="Arial" w:hAnsi="Arial" w:cs="Arial"/>
                <w:strike/>
                <w:sz w:val="22"/>
                <w:szCs w:val="22"/>
              </w:rPr>
            </w:pPr>
            <w:r w:rsidRPr="00654602">
              <w:rPr>
                <w:rFonts w:ascii="Arial" w:hAnsi="Arial" w:cs="Arial"/>
                <w:b/>
                <w:strike/>
                <w:sz w:val="22"/>
                <w:szCs w:val="22"/>
              </w:rPr>
              <w:lastRenderedPageBreak/>
              <w:t>Sec. 3</w:t>
            </w:r>
            <w:r w:rsidRPr="00654602">
              <w:rPr>
                <w:rFonts w:ascii="Arial" w:hAnsi="Arial" w:cs="Arial"/>
                <w:b/>
                <w:bCs/>
                <w:strike/>
                <w:sz w:val="22"/>
                <w:szCs w:val="22"/>
              </w:rPr>
              <w:t>02-2. - Subdivision requirements.</w:t>
            </w:r>
            <w:r w:rsidRPr="00654602">
              <w:rPr>
                <w:rFonts w:ascii="Arial" w:hAnsi="Arial" w:cs="Arial"/>
                <w:strike/>
                <w:sz w:val="22"/>
                <w:szCs w:val="22"/>
              </w:rPr>
              <w:t xml:space="preserve"> In addition to the requirements of Section 302-1 of these regulations, where any portion of proposed subdivisions, including proposals for manufactured home parks and subdivisions, lies within a flood hazard area, the following shall be required:</w:t>
            </w:r>
          </w:p>
          <w:p w14:paraId="4D22FA2E" w14:textId="77777777" w:rsidR="00FA7819" w:rsidRPr="00654602" w:rsidRDefault="00FA7819" w:rsidP="00654602">
            <w:pPr>
              <w:pStyle w:val="ListParagraph"/>
              <w:numPr>
                <w:ilvl w:val="0"/>
                <w:numId w:val="26"/>
              </w:numPr>
              <w:autoSpaceDE w:val="0"/>
              <w:autoSpaceDN w:val="0"/>
              <w:adjustRightInd w:val="0"/>
              <w:spacing w:before="120"/>
              <w:rPr>
                <w:rFonts w:ascii="Arial" w:hAnsi="Arial" w:cs="Arial"/>
                <w:strike/>
                <w:sz w:val="22"/>
                <w:szCs w:val="22"/>
              </w:rPr>
            </w:pPr>
            <w:r w:rsidRPr="00654602">
              <w:rPr>
                <w:rFonts w:ascii="Arial" w:hAnsi="Arial" w:cs="Arial"/>
                <w:strike/>
                <w:sz w:val="22"/>
                <w:szCs w:val="22"/>
              </w:rPr>
              <w:t>The flood hazard area, including floodways, coastal high hazard areas, and Coastal A Zones, as appropriate, shall be delineated on preliminary subdivision plats.</w:t>
            </w:r>
          </w:p>
          <w:p w14:paraId="51E48E3A" w14:textId="77777777" w:rsidR="00FA7819" w:rsidRPr="00654602" w:rsidRDefault="00FA7819" w:rsidP="00654602">
            <w:pPr>
              <w:pStyle w:val="ListParagraph"/>
              <w:numPr>
                <w:ilvl w:val="0"/>
                <w:numId w:val="26"/>
              </w:numPr>
              <w:autoSpaceDE w:val="0"/>
              <w:autoSpaceDN w:val="0"/>
              <w:adjustRightInd w:val="0"/>
              <w:spacing w:before="120"/>
              <w:rPr>
                <w:rFonts w:ascii="Arial" w:hAnsi="Arial" w:cs="Arial"/>
                <w:strike/>
                <w:sz w:val="22"/>
                <w:szCs w:val="22"/>
              </w:rPr>
            </w:pPr>
            <w:r w:rsidRPr="00654602">
              <w:rPr>
                <w:rFonts w:ascii="Arial" w:hAnsi="Arial" w:cs="Arial"/>
                <w:strike/>
                <w:sz w:val="22"/>
                <w:szCs w:val="22"/>
              </w:rPr>
              <w:t xml:space="preserve">Where the subdivision has more than 50 lots or is larger than 5 acres and base flood elevations are not included on the FIRM, the base flood elevations determined in accordance with Section 105-2(1) of these regulations. </w:t>
            </w:r>
          </w:p>
          <w:p w14:paraId="483126E7" w14:textId="77777777" w:rsidR="00FA7819" w:rsidRPr="00654602" w:rsidRDefault="00FA7819" w:rsidP="00654602">
            <w:pPr>
              <w:pStyle w:val="ListParagraph"/>
              <w:numPr>
                <w:ilvl w:val="0"/>
                <w:numId w:val="26"/>
              </w:numPr>
              <w:autoSpaceDE w:val="0"/>
              <w:autoSpaceDN w:val="0"/>
              <w:adjustRightInd w:val="0"/>
              <w:spacing w:before="120"/>
              <w:rPr>
                <w:rFonts w:ascii="Arial" w:hAnsi="Arial" w:cs="Arial"/>
                <w:strike/>
                <w:sz w:val="22"/>
                <w:szCs w:val="22"/>
              </w:rPr>
            </w:pPr>
            <w:r w:rsidRPr="00654602">
              <w:rPr>
                <w:rFonts w:ascii="Arial" w:hAnsi="Arial" w:cs="Arial"/>
                <w:strike/>
                <w:sz w:val="22"/>
                <w:szCs w:val="22"/>
              </w:rPr>
              <w:t xml:space="preserve">When, as part of a proposed subdivision, fill will be placed to support buildings, the fill shall be placed in accordance with the building code and approval of the subdivision shall require submission of as-built elevations for each filled pad certified by a licensed land surveyor or registered civil engineer. </w:t>
            </w:r>
          </w:p>
          <w:p w14:paraId="06ACF702" w14:textId="77777777" w:rsidR="00FA7819" w:rsidRDefault="00FA7819" w:rsidP="00C72238">
            <w:pPr>
              <w:tabs>
                <w:tab w:val="left" w:pos="432"/>
              </w:tabs>
              <w:ind w:left="360"/>
              <w:rPr>
                <w:rFonts w:ascii="Arial" w:hAnsi="Arial" w:cs="Arial"/>
                <w:sz w:val="22"/>
                <w:szCs w:val="22"/>
              </w:rPr>
            </w:pPr>
          </w:p>
        </w:tc>
      </w:tr>
    </w:tbl>
    <w:p w14:paraId="17525BEB" w14:textId="77777777" w:rsidR="00FA7819" w:rsidRPr="009F2B59" w:rsidRDefault="00FA7819" w:rsidP="00FA7819">
      <w:pPr>
        <w:rPr>
          <w:rFonts w:asciiTheme="minorHAnsi" w:hAnsiTheme="minorHAnsi" w:cstheme="minorHAnsi"/>
          <w:i/>
          <w:sz w:val="26"/>
          <w:szCs w:val="26"/>
        </w:rPr>
      </w:pPr>
    </w:p>
    <w:p w14:paraId="4D9CF979" w14:textId="77777777" w:rsidR="00FA7819" w:rsidRPr="00923C8E" w:rsidRDefault="00FA7819" w:rsidP="00FA7819">
      <w:pPr>
        <w:widowControl/>
        <w:rPr>
          <w:rFonts w:ascii="Arial" w:hAnsi="Arial" w:cs="Arial"/>
          <w:b/>
          <w:bCs/>
          <w:i/>
          <w:iCs/>
          <w:sz w:val="22"/>
          <w:szCs w:val="22"/>
        </w:rPr>
      </w:pPr>
      <w:r w:rsidRPr="00BC770C">
        <w:rPr>
          <w:rFonts w:ascii="Arial" w:hAnsi="Arial" w:cs="Arial"/>
          <w:b/>
          <w:bCs/>
          <w:iCs/>
          <w:sz w:val="22"/>
          <w:szCs w:val="22"/>
        </w:rPr>
        <w:t xml:space="preserve">Option </w:t>
      </w:r>
      <w:r>
        <w:rPr>
          <w:rFonts w:ascii="Arial" w:hAnsi="Arial" w:cs="Arial"/>
          <w:b/>
          <w:bCs/>
          <w:iCs/>
          <w:sz w:val="22"/>
          <w:szCs w:val="22"/>
        </w:rPr>
        <w:t>2</w:t>
      </w:r>
      <w:r w:rsidRPr="00BC770C">
        <w:rPr>
          <w:rFonts w:ascii="Arial" w:hAnsi="Arial" w:cs="Arial"/>
          <w:b/>
          <w:bCs/>
          <w:iCs/>
          <w:sz w:val="22"/>
          <w:szCs w:val="22"/>
        </w:rPr>
        <w:t xml:space="preserve">. Use this amendment to </w:t>
      </w:r>
      <w:r>
        <w:rPr>
          <w:rFonts w:ascii="Arial" w:hAnsi="Arial" w:cs="Arial"/>
          <w:b/>
          <w:bCs/>
          <w:iCs/>
          <w:sz w:val="22"/>
          <w:szCs w:val="22"/>
        </w:rPr>
        <w:t xml:space="preserve">require residential building lots to have buildable area outside the flood hazard area. </w:t>
      </w:r>
    </w:p>
    <w:p w14:paraId="1A1B6C27" w14:textId="77777777" w:rsidR="00FA7819" w:rsidRPr="00923C8E" w:rsidRDefault="00FA7819" w:rsidP="00FA7819">
      <w:pPr>
        <w:widowControl/>
        <w:rPr>
          <w:rFonts w:ascii="Arial" w:hAnsi="Arial" w:cs="Arial"/>
          <w:b/>
          <w:bCs/>
          <w:i/>
          <w:iCs/>
          <w:sz w:val="22"/>
          <w:szCs w:val="22"/>
        </w:rPr>
      </w:pPr>
    </w:p>
    <w:tbl>
      <w:tblPr>
        <w:tblStyle w:val="TableGrid"/>
        <w:tblW w:w="0" w:type="auto"/>
        <w:tblInd w:w="738" w:type="dxa"/>
        <w:tblLook w:val="04A0" w:firstRow="1" w:lastRow="0" w:firstColumn="1" w:lastColumn="0" w:noHBand="0" w:noVBand="1"/>
      </w:tblPr>
      <w:tblGrid>
        <w:gridCol w:w="8370"/>
      </w:tblGrid>
      <w:tr w:rsidR="00FA7819" w14:paraId="6CA6A420" w14:textId="77777777" w:rsidTr="00C72238">
        <w:tc>
          <w:tcPr>
            <w:tcW w:w="8370" w:type="dxa"/>
          </w:tcPr>
          <w:p w14:paraId="2910DBCD" w14:textId="77777777" w:rsidR="00FA7819" w:rsidRDefault="00FA7819" w:rsidP="00C72238">
            <w:pPr>
              <w:widowControl/>
              <w:rPr>
                <w:rFonts w:ascii="Arial" w:hAnsi="Arial" w:cs="Arial"/>
                <w:b/>
                <w:sz w:val="22"/>
                <w:szCs w:val="22"/>
              </w:rPr>
            </w:pPr>
          </w:p>
          <w:p w14:paraId="30FEA5EB" w14:textId="77777777" w:rsidR="00654602" w:rsidRPr="00933CCF" w:rsidRDefault="00654602" w:rsidP="00654602">
            <w:pPr>
              <w:autoSpaceDE w:val="0"/>
              <w:autoSpaceDN w:val="0"/>
              <w:adjustRightInd w:val="0"/>
              <w:rPr>
                <w:rFonts w:ascii="Arial" w:hAnsi="Arial" w:cs="Arial"/>
                <w:sz w:val="22"/>
                <w:szCs w:val="22"/>
              </w:rPr>
            </w:pPr>
            <w:r w:rsidRPr="00933CCF">
              <w:rPr>
                <w:rFonts w:ascii="Arial" w:hAnsi="Arial" w:cs="Arial"/>
                <w:b/>
                <w:sz w:val="22"/>
                <w:szCs w:val="22"/>
              </w:rPr>
              <w:t>Sec. 3</w:t>
            </w:r>
            <w:r w:rsidRPr="00933CCF">
              <w:rPr>
                <w:rFonts w:ascii="Arial" w:hAnsi="Arial" w:cs="Arial"/>
                <w:b/>
                <w:bCs/>
                <w:sz w:val="22"/>
                <w:szCs w:val="22"/>
              </w:rPr>
              <w:t>02-1. - Minimum requirements.</w:t>
            </w:r>
            <w:r w:rsidRPr="00933CCF">
              <w:rPr>
                <w:rFonts w:ascii="Arial" w:hAnsi="Arial" w:cs="Arial"/>
                <w:sz w:val="22"/>
                <w:szCs w:val="22"/>
              </w:rPr>
              <w:t xml:space="preserve"> Subdivision proposals in flood hazard areas, including proposals for manufactured home parks and subdivisions, shall be reviewed to determine that:</w:t>
            </w:r>
          </w:p>
          <w:p w14:paraId="34300702" w14:textId="77777777" w:rsidR="00654602" w:rsidRPr="00933CCF" w:rsidRDefault="00654602" w:rsidP="00654602">
            <w:pPr>
              <w:pStyle w:val="ListParagraph"/>
              <w:numPr>
                <w:ilvl w:val="0"/>
                <w:numId w:val="27"/>
              </w:numPr>
              <w:autoSpaceDE w:val="0"/>
              <w:autoSpaceDN w:val="0"/>
              <w:adjustRightInd w:val="0"/>
              <w:spacing w:before="120"/>
              <w:rPr>
                <w:rFonts w:ascii="Arial" w:hAnsi="Arial" w:cs="Arial"/>
                <w:sz w:val="22"/>
                <w:szCs w:val="22"/>
              </w:rPr>
            </w:pPr>
            <w:r w:rsidRPr="00933CCF">
              <w:rPr>
                <w:rFonts w:ascii="Arial" w:hAnsi="Arial" w:cs="Arial"/>
                <w:sz w:val="22"/>
                <w:szCs w:val="22"/>
              </w:rPr>
              <w:t>Such proposals are consistent with the need to minimize flood damage and will be reasonably safe from flooding</w:t>
            </w:r>
            <w:r>
              <w:rPr>
                <w:rFonts w:ascii="Arial" w:hAnsi="Arial" w:cs="Arial"/>
                <w:sz w:val="22"/>
                <w:szCs w:val="22"/>
              </w:rPr>
              <w:t>.</w:t>
            </w:r>
          </w:p>
          <w:p w14:paraId="31899B03" w14:textId="77777777" w:rsidR="00654602" w:rsidRPr="00933CCF" w:rsidRDefault="00654602" w:rsidP="00654602">
            <w:pPr>
              <w:pStyle w:val="ListParagraph"/>
              <w:numPr>
                <w:ilvl w:val="0"/>
                <w:numId w:val="27"/>
              </w:numPr>
              <w:autoSpaceDE w:val="0"/>
              <w:autoSpaceDN w:val="0"/>
              <w:adjustRightInd w:val="0"/>
              <w:spacing w:before="120"/>
              <w:rPr>
                <w:rFonts w:ascii="Arial" w:hAnsi="Arial" w:cs="Arial"/>
                <w:sz w:val="22"/>
                <w:szCs w:val="22"/>
              </w:rPr>
            </w:pPr>
            <w:r w:rsidRPr="00933CCF">
              <w:rPr>
                <w:rFonts w:ascii="Arial" w:hAnsi="Arial" w:cs="Arial"/>
                <w:sz w:val="22"/>
                <w:szCs w:val="22"/>
              </w:rPr>
              <w:t>All public utilities and facilities, such as sewer, gas, electric, communications, and water systems are located and constructed to minimize or eliminate flood damage in accordance with Section 303-2 and Section 303-3 of these regulations, as applicable, and appropriate codes</w:t>
            </w:r>
            <w:r>
              <w:rPr>
                <w:rFonts w:ascii="Arial" w:hAnsi="Arial" w:cs="Arial"/>
                <w:sz w:val="22"/>
                <w:szCs w:val="22"/>
              </w:rPr>
              <w:t>.</w:t>
            </w:r>
          </w:p>
          <w:p w14:paraId="070CA047" w14:textId="77777777" w:rsidR="00654602" w:rsidRPr="00933CCF" w:rsidRDefault="00654602" w:rsidP="00654602">
            <w:pPr>
              <w:pStyle w:val="ListParagraph"/>
              <w:numPr>
                <w:ilvl w:val="0"/>
                <w:numId w:val="27"/>
              </w:numPr>
              <w:autoSpaceDE w:val="0"/>
              <w:autoSpaceDN w:val="0"/>
              <w:adjustRightInd w:val="0"/>
              <w:spacing w:before="120"/>
              <w:rPr>
                <w:rFonts w:ascii="Arial" w:hAnsi="Arial" w:cs="Arial"/>
                <w:sz w:val="22"/>
                <w:szCs w:val="22"/>
              </w:rPr>
            </w:pPr>
            <w:r w:rsidRPr="00933CCF">
              <w:rPr>
                <w:rFonts w:ascii="Arial" w:hAnsi="Arial" w:cs="Arial"/>
                <w:sz w:val="22"/>
                <w:szCs w:val="22"/>
              </w:rPr>
              <w:t>Adequate drainage is provided to reduce exposure to flood hazards; in Zones AH and AO, adequate drainage paths shall be provided to guide floodwater around and away from proposed structures.</w:t>
            </w:r>
          </w:p>
          <w:p w14:paraId="0A6D83A3" w14:textId="77777777" w:rsidR="00654602" w:rsidRPr="00933CCF" w:rsidRDefault="00654602" w:rsidP="00654602">
            <w:pPr>
              <w:autoSpaceDE w:val="0"/>
              <w:autoSpaceDN w:val="0"/>
              <w:adjustRightInd w:val="0"/>
              <w:rPr>
                <w:rFonts w:ascii="Arial" w:hAnsi="Arial" w:cs="Arial"/>
                <w:b/>
                <w:bCs/>
                <w:sz w:val="22"/>
                <w:szCs w:val="22"/>
              </w:rPr>
            </w:pPr>
          </w:p>
          <w:p w14:paraId="265FAE67" w14:textId="77777777" w:rsidR="00654602" w:rsidRPr="00933CCF" w:rsidRDefault="00654602" w:rsidP="00654602">
            <w:pPr>
              <w:autoSpaceDE w:val="0"/>
              <w:autoSpaceDN w:val="0"/>
              <w:adjustRightInd w:val="0"/>
              <w:rPr>
                <w:rFonts w:ascii="Arial" w:hAnsi="Arial" w:cs="Arial"/>
                <w:sz w:val="22"/>
                <w:szCs w:val="22"/>
              </w:rPr>
            </w:pPr>
            <w:r w:rsidRPr="00933CCF">
              <w:rPr>
                <w:rFonts w:ascii="Arial" w:hAnsi="Arial" w:cs="Arial"/>
                <w:b/>
                <w:sz w:val="22"/>
                <w:szCs w:val="22"/>
              </w:rPr>
              <w:t>Sec. 3</w:t>
            </w:r>
            <w:r w:rsidRPr="00933CCF">
              <w:rPr>
                <w:rFonts w:ascii="Arial" w:hAnsi="Arial" w:cs="Arial"/>
                <w:b/>
                <w:bCs/>
                <w:sz w:val="22"/>
                <w:szCs w:val="22"/>
              </w:rPr>
              <w:t>02-2. - Subdivision requirements.</w:t>
            </w:r>
            <w:r w:rsidRPr="00933CCF">
              <w:rPr>
                <w:rFonts w:ascii="Arial" w:hAnsi="Arial" w:cs="Arial"/>
                <w:sz w:val="22"/>
                <w:szCs w:val="22"/>
              </w:rPr>
              <w:t xml:space="preserve"> In addition to the requirements of Section 302-1 of these regulations, where any portion of proposed subdivisions, including proposals for manufactured home parks and subdivisions, lies within a flood hazard area, the following shall be required:</w:t>
            </w:r>
          </w:p>
          <w:p w14:paraId="28FC011A" w14:textId="77777777" w:rsidR="00654602" w:rsidRDefault="00654602" w:rsidP="00654602">
            <w:pPr>
              <w:pStyle w:val="ListParagraph"/>
              <w:numPr>
                <w:ilvl w:val="0"/>
                <w:numId w:val="30"/>
              </w:numPr>
              <w:autoSpaceDE w:val="0"/>
              <w:autoSpaceDN w:val="0"/>
              <w:adjustRightInd w:val="0"/>
              <w:spacing w:before="120"/>
              <w:rPr>
                <w:rFonts w:ascii="Arial" w:hAnsi="Arial" w:cs="Arial"/>
                <w:sz w:val="22"/>
                <w:szCs w:val="22"/>
              </w:rPr>
            </w:pPr>
            <w:r w:rsidRPr="00933CCF">
              <w:rPr>
                <w:rFonts w:ascii="Arial" w:hAnsi="Arial" w:cs="Arial"/>
                <w:sz w:val="22"/>
                <w:szCs w:val="22"/>
              </w:rPr>
              <w:t>The flood hazard area, including floodways, coastal high hazard areas, and Coastal A Zones, as appropriate, shall be delineated on preliminary subdivision plats</w:t>
            </w:r>
            <w:r>
              <w:rPr>
                <w:rFonts w:ascii="Arial" w:hAnsi="Arial" w:cs="Arial"/>
                <w:sz w:val="22"/>
                <w:szCs w:val="22"/>
              </w:rPr>
              <w:t>.</w:t>
            </w:r>
          </w:p>
          <w:p w14:paraId="537D8419" w14:textId="13458C89" w:rsidR="00654602" w:rsidRPr="00654602" w:rsidRDefault="00654602" w:rsidP="00654602">
            <w:pPr>
              <w:pStyle w:val="ListParagraph"/>
              <w:numPr>
                <w:ilvl w:val="0"/>
                <w:numId w:val="30"/>
              </w:numPr>
              <w:autoSpaceDE w:val="0"/>
              <w:autoSpaceDN w:val="0"/>
              <w:adjustRightInd w:val="0"/>
              <w:spacing w:before="120"/>
              <w:rPr>
                <w:rFonts w:ascii="Arial" w:hAnsi="Arial" w:cs="Arial"/>
                <w:sz w:val="22"/>
                <w:szCs w:val="22"/>
                <w:u w:val="single"/>
              </w:rPr>
            </w:pPr>
            <w:r w:rsidRPr="00654602">
              <w:rPr>
                <w:rFonts w:ascii="Arial" w:hAnsi="Arial" w:cs="Arial"/>
                <w:sz w:val="22"/>
                <w:u w:val="single"/>
              </w:rPr>
              <w:t xml:space="preserve">Residential building lots shall be provided with adequate buildable area outside of the flood hazard area. </w:t>
            </w:r>
          </w:p>
          <w:p w14:paraId="398D2968" w14:textId="77777777" w:rsidR="00654602" w:rsidRPr="00654602" w:rsidRDefault="00654602" w:rsidP="00654602">
            <w:pPr>
              <w:pStyle w:val="ListParagraph"/>
              <w:numPr>
                <w:ilvl w:val="0"/>
                <w:numId w:val="30"/>
              </w:numPr>
              <w:autoSpaceDE w:val="0"/>
              <w:autoSpaceDN w:val="0"/>
              <w:adjustRightInd w:val="0"/>
              <w:spacing w:before="120"/>
              <w:rPr>
                <w:rFonts w:ascii="Arial" w:hAnsi="Arial" w:cs="Arial"/>
                <w:strike/>
                <w:sz w:val="22"/>
                <w:szCs w:val="22"/>
              </w:rPr>
            </w:pPr>
            <w:r w:rsidRPr="00654602">
              <w:rPr>
                <w:rFonts w:ascii="Arial" w:hAnsi="Arial" w:cs="Arial"/>
                <w:strike/>
                <w:sz w:val="22"/>
                <w:szCs w:val="22"/>
              </w:rPr>
              <w:t xml:space="preserve">Where the subdivision has more than 50 lots or is larger than 5 acres and base flood elevations are not included on the FIRM, the base flood </w:t>
            </w:r>
            <w:r w:rsidRPr="00654602">
              <w:rPr>
                <w:rFonts w:ascii="Arial" w:hAnsi="Arial" w:cs="Arial"/>
                <w:strike/>
                <w:sz w:val="22"/>
                <w:szCs w:val="22"/>
              </w:rPr>
              <w:lastRenderedPageBreak/>
              <w:t xml:space="preserve">elevations determined in accordance with Section 105-2(1) of these regulations. </w:t>
            </w:r>
          </w:p>
          <w:p w14:paraId="777A40E9" w14:textId="77777777" w:rsidR="00654602" w:rsidRPr="00654602" w:rsidRDefault="00654602" w:rsidP="00654602">
            <w:pPr>
              <w:pStyle w:val="ListParagraph"/>
              <w:numPr>
                <w:ilvl w:val="0"/>
                <w:numId w:val="30"/>
              </w:numPr>
              <w:autoSpaceDE w:val="0"/>
              <w:autoSpaceDN w:val="0"/>
              <w:adjustRightInd w:val="0"/>
              <w:spacing w:before="120"/>
              <w:rPr>
                <w:rFonts w:ascii="Arial" w:hAnsi="Arial" w:cs="Arial"/>
                <w:strike/>
                <w:sz w:val="22"/>
                <w:szCs w:val="22"/>
              </w:rPr>
            </w:pPr>
            <w:r w:rsidRPr="00654602">
              <w:rPr>
                <w:rFonts w:ascii="Arial" w:hAnsi="Arial" w:cs="Arial"/>
                <w:strike/>
                <w:sz w:val="22"/>
                <w:szCs w:val="22"/>
              </w:rPr>
              <w:t xml:space="preserve">When, as part of a proposed subdivision, fill will be placed to support buildings, the fill shall be placed in accordance with the building code and approval of the subdivision shall require submission of as-built elevations for each filled pad certified by a licensed land surveyor or registered civil engineer. </w:t>
            </w:r>
          </w:p>
          <w:p w14:paraId="670602CF" w14:textId="77777777" w:rsidR="00FA7819" w:rsidRDefault="00FA7819" w:rsidP="00C72238">
            <w:pPr>
              <w:tabs>
                <w:tab w:val="left" w:pos="432"/>
              </w:tabs>
              <w:ind w:left="360"/>
              <w:rPr>
                <w:rFonts w:ascii="Arial" w:hAnsi="Arial" w:cs="Arial"/>
                <w:sz w:val="22"/>
                <w:szCs w:val="22"/>
              </w:rPr>
            </w:pPr>
          </w:p>
        </w:tc>
      </w:tr>
    </w:tbl>
    <w:p w14:paraId="666EC9CC" w14:textId="77777777" w:rsidR="00FA7819" w:rsidRPr="00FA7819" w:rsidRDefault="00FA7819" w:rsidP="00A93BCD"/>
    <w:p w14:paraId="3C86DD01" w14:textId="68A4978B" w:rsidR="00C15A0B" w:rsidRDefault="00654602" w:rsidP="00F2444A">
      <w:pPr>
        <w:widowControl/>
        <w:rPr>
          <w:rFonts w:ascii="Arial" w:hAnsi="Arial" w:cs="Arial"/>
          <w:bCs/>
          <w:iCs/>
          <w:sz w:val="22"/>
          <w:szCs w:val="22"/>
        </w:rPr>
      </w:pPr>
      <w:r>
        <w:rPr>
          <w:rFonts w:asciiTheme="minorHAnsi" w:hAnsiTheme="minorHAnsi" w:cstheme="minorHAnsi"/>
          <w:b/>
          <w:sz w:val="26"/>
          <w:szCs w:val="26"/>
        </w:rPr>
        <w:t xml:space="preserve">Modify Title 2 Appendix G. </w:t>
      </w:r>
      <w:r w:rsidR="00C15A0B">
        <w:rPr>
          <w:rFonts w:ascii="Arial" w:hAnsi="Arial" w:cs="Arial"/>
          <w:bCs/>
          <w:iCs/>
          <w:sz w:val="22"/>
          <w:szCs w:val="22"/>
        </w:rPr>
        <w:t xml:space="preserve">Two options </w:t>
      </w:r>
      <w:r w:rsidR="00921386">
        <w:rPr>
          <w:rFonts w:ascii="Arial" w:hAnsi="Arial" w:cs="Arial"/>
          <w:bCs/>
          <w:iCs/>
          <w:sz w:val="22"/>
          <w:szCs w:val="22"/>
        </w:rPr>
        <w:t xml:space="preserve">to amend CCR Title 2 Appendix G </w:t>
      </w:r>
      <w:r w:rsidR="00C15A0B">
        <w:rPr>
          <w:rFonts w:ascii="Arial" w:hAnsi="Arial" w:cs="Arial"/>
          <w:bCs/>
          <w:iCs/>
          <w:sz w:val="22"/>
          <w:szCs w:val="22"/>
        </w:rPr>
        <w:t>are shown. Option 1 requires flood hazard areas to be reserved for open space and not included in individual platted lots, and Option 2 requires buildable areas to be outside of flood hazard areas</w:t>
      </w:r>
    </w:p>
    <w:p w14:paraId="55D1AD76" w14:textId="77777777" w:rsidR="00C15A0B" w:rsidRDefault="00C15A0B" w:rsidP="00F2444A">
      <w:pPr>
        <w:widowControl/>
        <w:rPr>
          <w:rFonts w:ascii="Arial" w:hAnsi="Arial" w:cs="Arial"/>
          <w:bCs/>
          <w:iCs/>
          <w:sz w:val="22"/>
          <w:szCs w:val="22"/>
        </w:rPr>
      </w:pPr>
    </w:p>
    <w:p w14:paraId="1C45287A" w14:textId="1CD94250" w:rsidR="00923C8E" w:rsidRPr="00BC770C" w:rsidRDefault="00BC770C" w:rsidP="00F2444A">
      <w:pPr>
        <w:widowControl/>
        <w:rPr>
          <w:rFonts w:ascii="Arial" w:hAnsi="Arial" w:cs="Arial"/>
          <w:b/>
          <w:bCs/>
          <w:iCs/>
          <w:sz w:val="22"/>
          <w:szCs w:val="22"/>
        </w:rPr>
      </w:pPr>
      <w:r w:rsidRPr="00BC770C">
        <w:rPr>
          <w:rFonts w:ascii="Arial" w:hAnsi="Arial" w:cs="Arial"/>
          <w:b/>
          <w:bCs/>
          <w:iCs/>
          <w:sz w:val="22"/>
          <w:szCs w:val="22"/>
        </w:rPr>
        <w:t>Option 1. Use this amendment to reserve flood hazard areas for open space (obviating the need to determine BFEs if not shown on the FIRM).</w:t>
      </w:r>
    </w:p>
    <w:p w14:paraId="242E9DB9" w14:textId="5A701EA5" w:rsidR="00923C8E" w:rsidRPr="00923C8E" w:rsidRDefault="00BC770C" w:rsidP="00BC770C">
      <w:pPr>
        <w:widowControl/>
        <w:tabs>
          <w:tab w:val="left" w:pos="2595"/>
        </w:tabs>
        <w:rPr>
          <w:rFonts w:ascii="Arial" w:hAnsi="Arial" w:cs="Arial"/>
          <w:b/>
          <w:bCs/>
          <w:i/>
          <w:iCs/>
          <w:sz w:val="22"/>
          <w:szCs w:val="22"/>
        </w:rPr>
      </w:pPr>
      <w:r>
        <w:rPr>
          <w:rFonts w:ascii="Arial" w:hAnsi="Arial" w:cs="Arial"/>
          <w:b/>
          <w:bCs/>
          <w:i/>
          <w:iCs/>
          <w:sz w:val="22"/>
          <w:szCs w:val="22"/>
        </w:rPr>
        <w:tab/>
      </w: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53A453E8" w14:textId="77777777" w:rsidR="00923C8E" w:rsidRDefault="00923C8E" w:rsidP="009F2B59">
            <w:pPr>
              <w:widowControl/>
              <w:rPr>
                <w:rFonts w:ascii="Arial" w:hAnsi="Arial" w:cs="Arial"/>
                <w:b/>
                <w:sz w:val="22"/>
                <w:szCs w:val="22"/>
              </w:rPr>
            </w:pPr>
          </w:p>
          <w:p w14:paraId="6987BAB5" w14:textId="4352A96F" w:rsidR="00FE14F6" w:rsidRDefault="00186C1D" w:rsidP="00FE14F6">
            <w:pPr>
              <w:widowControl/>
              <w:rPr>
                <w:rFonts w:ascii="Arial" w:hAnsi="Arial" w:cs="Arial"/>
                <w:b/>
                <w:sz w:val="22"/>
                <w:szCs w:val="22"/>
              </w:rPr>
            </w:pPr>
            <w:r>
              <w:rPr>
                <w:rFonts w:ascii="Arial" w:hAnsi="Arial" w:cs="Arial"/>
                <w:bCs/>
                <w:i/>
                <w:iCs/>
                <w:sz w:val="22"/>
                <w:szCs w:val="22"/>
              </w:rPr>
              <w:t xml:space="preserve">CCR Title 24, Part 2 Appendix G </w:t>
            </w:r>
            <w:r w:rsidR="00FE14F6">
              <w:rPr>
                <w:rFonts w:ascii="Arial" w:hAnsi="Arial" w:cs="Arial"/>
                <w:bCs/>
                <w:i/>
                <w:iCs/>
                <w:sz w:val="22"/>
                <w:szCs w:val="22"/>
              </w:rPr>
              <w:t>Section G</w:t>
            </w:r>
            <w:proofErr w:type="gramStart"/>
            <w:r w:rsidR="00FE14F6">
              <w:rPr>
                <w:rFonts w:ascii="Arial" w:hAnsi="Arial" w:cs="Arial"/>
                <w:bCs/>
                <w:i/>
                <w:iCs/>
                <w:sz w:val="22"/>
                <w:szCs w:val="22"/>
              </w:rPr>
              <w:t>301  is</w:t>
            </w:r>
            <w:proofErr w:type="gramEnd"/>
            <w:r w:rsidR="00FE14F6">
              <w:rPr>
                <w:rFonts w:ascii="Arial" w:hAnsi="Arial" w:cs="Arial"/>
                <w:bCs/>
                <w:i/>
                <w:iCs/>
                <w:sz w:val="22"/>
                <w:szCs w:val="22"/>
              </w:rPr>
              <w:t xml:space="preserve"> hereby amended as follows:</w:t>
            </w:r>
            <w:r w:rsidR="00FE14F6">
              <w:rPr>
                <w:rFonts w:ascii="Arial" w:hAnsi="Arial" w:cs="Arial"/>
                <w:b/>
                <w:sz w:val="22"/>
                <w:szCs w:val="22"/>
              </w:rPr>
              <w:t xml:space="preserve"> </w:t>
            </w:r>
          </w:p>
          <w:p w14:paraId="07B2D705" w14:textId="77777777" w:rsidR="00923C8E" w:rsidRPr="00923C8E" w:rsidRDefault="00923C8E" w:rsidP="00923C8E">
            <w:pPr>
              <w:autoSpaceDE w:val="0"/>
              <w:autoSpaceDN w:val="0"/>
              <w:adjustRightInd w:val="0"/>
              <w:spacing w:before="60"/>
              <w:rPr>
                <w:rFonts w:ascii="Arial" w:hAnsi="Arial" w:cs="Arial"/>
                <w:sz w:val="22"/>
                <w:szCs w:val="22"/>
              </w:rPr>
            </w:pPr>
          </w:p>
          <w:p w14:paraId="6423B7B5" w14:textId="77777777" w:rsidR="00923C8E" w:rsidRPr="00923C8E" w:rsidRDefault="00923C8E" w:rsidP="00923C8E">
            <w:pPr>
              <w:pStyle w:val="IBCRequirement"/>
              <w:keepNext w:val="0"/>
              <w:rPr>
                <w:sz w:val="22"/>
              </w:rPr>
            </w:pPr>
            <w:r w:rsidRPr="00923C8E">
              <w:rPr>
                <w:b/>
                <w:bCs/>
                <w:sz w:val="22"/>
              </w:rPr>
              <w:t>G301.1 General.</w:t>
            </w:r>
            <w:r w:rsidRPr="00923C8E">
              <w:rPr>
                <w:sz w:val="22"/>
              </w:rPr>
              <w:t xml:space="preserve"> Any subdivision proposal, including proposals for manufactured home parks and subdivisions, or other proposed new development in a flood hazard area shall be reviewed to verify </w:t>
            </w:r>
            <w:proofErr w:type="gramStart"/>
            <w:r w:rsidRPr="00923C8E">
              <w:rPr>
                <w:sz w:val="22"/>
              </w:rPr>
              <w:t>all of</w:t>
            </w:r>
            <w:proofErr w:type="gramEnd"/>
            <w:r w:rsidRPr="00923C8E">
              <w:rPr>
                <w:sz w:val="22"/>
              </w:rPr>
              <w:t xml:space="preserve"> the following:</w:t>
            </w:r>
          </w:p>
          <w:p w14:paraId="494B8095" w14:textId="77777777" w:rsidR="00923C8E" w:rsidRPr="00923C8E" w:rsidRDefault="00923C8E" w:rsidP="00923C8E">
            <w:pPr>
              <w:pStyle w:val="IBClistnumber"/>
              <w:numPr>
                <w:ilvl w:val="0"/>
                <w:numId w:val="21"/>
              </w:numPr>
              <w:tabs>
                <w:tab w:val="clear" w:pos="792"/>
              </w:tabs>
              <w:ind w:left="1152"/>
              <w:rPr>
                <w:rFonts w:ascii="Arial" w:hAnsi="Arial" w:cs="Arial"/>
                <w:sz w:val="22"/>
              </w:rPr>
            </w:pPr>
            <w:r w:rsidRPr="00923C8E">
              <w:rPr>
                <w:rFonts w:ascii="Arial" w:hAnsi="Arial" w:cs="Arial"/>
                <w:sz w:val="22"/>
              </w:rPr>
              <w:t>All such proposals are consistent with the need to minimize flood damage.</w:t>
            </w:r>
          </w:p>
          <w:p w14:paraId="7090A832" w14:textId="77777777" w:rsidR="00923C8E" w:rsidRPr="00923C8E" w:rsidRDefault="00923C8E" w:rsidP="00923C8E">
            <w:pPr>
              <w:pStyle w:val="IBClistnumber"/>
              <w:numPr>
                <w:ilvl w:val="0"/>
                <w:numId w:val="10"/>
              </w:numPr>
              <w:tabs>
                <w:tab w:val="clear" w:pos="792"/>
              </w:tabs>
              <w:ind w:left="1152"/>
              <w:rPr>
                <w:rFonts w:ascii="Arial" w:hAnsi="Arial" w:cs="Arial"/>
                <w:sz w:val="22"/>
              </w:rPr>
            </w:pPr>
            <w:r w:rsidRPr="00923C8E">
              <w:rPr>
                <w:rFonts w:ascii="Arial" w:hAnsi="Arial" w:cs="Arial"/>
                <w:sz w:val="22"/>
              </w:rPr>
              <w:t xml:space="preserve">All public utilities and facilities, such as sewer, gas, electric and water systems are located and constructed to minimize or eliminate flood damage. </w:t>
            </w:r>
          </w:p>
          <w:p w14:paraId="78917EB8" w14:textId="77777777" w:rsidR="00923C8E" w:rsidRPr="00923C8E" w:rsidRDefault="00923C8E" w:rsidP="00923C8E">
            <w:pPr>
              <w:pStyle w:val="IBClistnumber"/>
              <w:numPr>
                <w:ilvl w:val="0"/>
                <w:numId w:val="10"/>
              </w:numPr>
              <w:tabs>
                <w:tab w:val="clear" w:pos="792"/>
              </w:tabs>
              <w:ind w:left="1152"/>
              <w:rPr>
                <w:rFonts w:ascii="Arial" w:hAnsi="Arial" w:cs="Arial"/>
                <w:sz w:val="22"/>
              </w:rPr>
            </w:pPr>
            <w:r w:rsidRPr="00923C8E">
              <w:rPr>
                <w:rFonts w:ascii="Arial" w:hAnsi="Arial" w:cs="Arial"/>
                <w:sz w:val="22"/>
              </w:rPr>
              <w:t>Adequate drainage is provided to reduce exposure to flood hazards.</w:t>
            </w:r>
          </w:p>
          <w:p w14:paraId="00B76317" w14:textId="77777777" w:rsidR="00923C8E" w:rsidRPr="00923C8E" w:rsidRDefault="00923C8E" w:rsidP="00923C8E">
            <w:pPr>
              <w:pStyle w:val="IBClistnumber"/>
              <w:numPr>
                <w:ilvl w:val="0"/>
                <w:numId w:val="10"/>
              </w:numPr>
              <w:tabs>
                <w:tab w:val="clear" w:pos="792"/>
              </w:tabs>
              <w:ind w:left="1152"/>
              <w:rPr>
                <w:rFonts w:ascii="Arial" w:hAnsi="Arial" w:cs="Arial"/>
                <w:sz w:val="22"/>
              </w:rPr>
            </w:pPr>
            <w:r w:rsidRPr="00923C8E">
              <w:rPr>
                <w:rFonts w:ascii="Arial" w:hAnsi="Arial" w:cs="Arial"/>
                <w:sz w:val="22"/>
                <w:u w:val="single"/>
              </w:rPr>
              <w:t>Flood hazard areas shall be restricted to open space uses and not included in individual platted lots.</w:t>
            </w:r>
            <w:r w:rsidRPr="00923C8E">
              <w:rPr>
                <w:rFonts w:ascii="Arial" w:hAnsi="Arial" w:cs="Arial"/>
                <w:sz w:val="22"/>
              </w:rPr>
              <w:t xml:space="preserve"> </w:t>
            </w:r>
          </w:p>
          <w:p w14:paraId="166121C8" w14:textId="77777777" w:rsidR="00923C8E" w:rsidRPr="00923C8E" w:rsidRDefault="00923C8E" w:rsidP="00923C8E">
            <w:pPr>
              <w:pStyle w:val="IBCRequirement"/>
              <w:keepNext w:val="0"/>
              <w:rPr>
                <w:sz w:val="22"/>
              </w:rPr>
            </w:pPr>
            <w:r w:rsidRPr="00923C8E">
              <w:rPr>
                <w:b/>
                <w:bCs/>
                <w:sz w:val="22"/>
              </w:rPr>
              <w:t>G301.2 Subdivision requirements.</w:t>
            </w:r>
            <w:r w:rsidRPr="00923C8E">
              <w:rPr>
                <w:sz w:val="22"/>
              </w:rPr>
              <w:t xml:space="preserve"> The following requirements shall apply in the case of any proposed subdivision, including proposals for manufactured home parks and subdivisions, any portion of which lies within a flood hazard area:</w:t>
            </w:r>
          </w:p>
          <w:p w14:paraId="2759A085" w14:textId="77777777" w:rsidR="00923C8E" w:rsidRPr="00923C8E" w:rsidRDefault="00923C8E" w:rsidP="00923C8E">
            <w:pPr>
              <w:pStyle w:val="IBClistnumber"/>
              <w:numPr>
                <w:ilvl w:val="0"/>
                <w:numId w:val="22"/>
              </w:numPr>
              <w:tabs>
                <w:tab w:val="clear" w:pos="792"/>
              </w:tabs>
              <w:ind w:left="1152"/>
              <w:rPr>
                <w:rFonts w:ascii="Arial" w:hAnsi="Arial" w:cs="Arial"/>
                <w:sz w:val="22"/>
              </w:rPr>
            </w:pPr>
            <w:r w:rsidRPr="00923C8E">
              <w:rPr>
                <w:rFonts w:ascii="Arial" w:hAnsi="Arial" w:cs="Arial"/>
                <w:sz w:val="22"/>
              </w:rPr>
              <w:t xml:space="preserve">The flood hazard area, including floodways, coastal high-hazard </w:t>
            </w:r>
            <w:proofErr w:type="gramStart"/>
            <w:r w:rsidRPr="00923C8E">
              <w:rPr>
                <w:rFonts w:ascii="Arial" w:hAnsi="Arial" w:cs="Arial"/>
                <w:sz w:val="22"/>
              </w:rPr>
              <w:t>areas</w:t>
            </w:r>
            <w:proofErr w:type="gramEnd"/>
            <w:r w:rsidRPr="00923C8E">
              <w:rPr>
                <w:rFonts w:ascii="Arial" w:hAnsi="Arial" w:cs="Arial"/>
                <w:sz w:val="22"/>
              </w:rPr>
              <w:t xml:space="preserve"> and coastal A zones, as appropriate, shall be delineated on tentative and final subdivision plats.</w:t>
            </w:r>
          </w:p>
          <w:p w14:paraId="346FC966" w14:textId="77777777" w:rsidR="00923C8E" w:rsidRPr="00923C8E" w:rsidRDefault="00923C8E" w:rsidP="00923C8E">
            <w:pPr>
              <w:pStyle w:val="IBClistnumber"/>
              <w:numPr>
                <w:ilvl w:val="0"/>
                <w:numId w:val="10"/>
              </w:numPr>
              <w:tabs>
                <w:tab w:val="clear" w:pos="792"/>
              </w:tabs>
              <w:ind w:left="1152"/>
              <w:rPr>
                <w:rFonts w:ascii="Arial" w:hAnsi="Arial" w:cs="Arial"/>
                <w:sz w:val="22"/>
              </w:rPr>
            </w:pPr>
            <w:r w:rsidRPr="00923C8E">
              <w:rPr>
                <w:rFonts w:ascii="Arial" w:hAnsi="Arial" w:cs="Arial"/>
                <w:sz w:val="22"/>
              </w:rPr>
              <w:t>Design flood elevations shall be shown on tentative and final subdivision plats.</w:t>
            </w:r>
          </w:p>
          <w:p w14:paraId="3F8E1D4B" w14:textId="77777777" w:rsidR="00923C8E" w:rsidRPr="00923C8E" w:rsidRDefault="00923C8E" w:rsidP="00923C8E">
            <w:pPr>
              <w:pStyle w:val="IBClistnumber"/>
              <w:numPr>
                <w:ilvl w:val="0"/>
                <w:numId w:val="10"/>
              </w:numPr>
              <w:tabs>
                <w:tab w:val="clear" w:pos="792"/>
              </w:tabs>
              <w:ind w:left="1152"/>
              <w:rPr>
                <w:rFonts w:ascii="Arial" w:hAnsi="Arial" w:cs="Arial"/>
                <w:strike/>
                <w:sz w:val="22"/>
              </w:rPr>
            </w:pPr>
            <w:r w:rsidRPr="00923C8E">
              <w:rPr>
                <w:rFonts w:ascii="Arial" w:hAnsi="Arial" w:cs="Arial"/>
                <w:strike/>
                <w:sz w:val="22"/>
              </w:rPr>
              <w:t>Residential building lots shall be provided with adequate buildable area outside the floodway.</w:t>
            </w:r>
          </w:p>
          <w:p w14:paraId="2C4B4927" w14:textId="10F5237E" w:rsidR="008051C9" w:rsidRDefault="00923C8E" w:rsidP="00FE14F6">
            <w:pPr>
              <w:tabs>
                <w:tab w:val="left" w:pos="432"/>
              </w:tabs>
              <w:ind w:left="720"/>
              <w:rPr>
                <w:rFonts w:ascii="Arial" w:hAnsi="Arial" w:cs="Arial"/>
                <w:sz w:val="22"/>
                <w:szCs w:val="22"/>
              </w:rPr>
            </w:pPr>
            <w:r w:rsidRPr="00923C8E">
              <w:rPr>
                <w:rFonts w:ascii="Arial" w:hAnsi="Arial" w:cs="Arial"/>
                <w:sz w:val="22"/>
                <w:szCs w:val="22"/>
                <w:u w:val="single"/>
              </w:rPr>
              <w:t xml:space="preserve">3. </w:t>
            </w:r>
            <w:proofErr w:type="gramStart"/>
            <w:r w:rsidRPr="00923C8E">
              <w:rPr>
                <w:rFonts w:ascii="Arial" w:hAnsi="Arial" w:cs="Arial"/>
                <w:strike/>
                <w:sz w:val="22"/>
                <w:szCs w:val="22"/>
              </w:rPr>
              <w:t>4.</w:t>
            </w:r>
            <w:r w:rsidRPr="00923C8E">
              <w:rPr>
                <w:rFonts w:ascii="Arial" w:hAnsi="Arial" w:cs="Arial"/>
                <w:sz w:val="22"/>
                <w:szCs w:val="22"/>
              </w:rPr>
              <w:t>The</w:t>
            </w:r>
            <w:proofErr w:type="gramEnd"/>
            <w:r w:rsidRPr="00923C8E">
              <w:rPr>
                <w:rFonts w:ascii="Arial" w:hAnsi="Arial" w:cs="Arial"/>
                <w:sz w:val="22"/>
                <w:szCs w:val="22"/>
              </w:rPr>
              <w:t xml:space="preserve"> design criteria for utilities and facilities set forth in this appendix and appropriate</w:t>
            </w:r>
            <w:r w:rsidR="00BC770C">
              <w:rPr>
                <w:rFonts w:ascii="Arial" w:hAnsi="Arial" w:cs="Arial"/>
                <w:sz w:val="22"/>
                <w:szCs w:val="22"/>
              </w:rPr>
              <w:t xml:space="preserve"> </w:t>
            </w:r>
            <w:r w:rsidRPr="00DA24D1">
              <w:rPr>
                <w:rFonts w:ascii="Arial" w:hAnsi="Arial" w:cs="Arial"/>
                <w:sz w:val="22"/>
                <w:szCs w:val="22"/>
              </w:rPr>
              <w:t>International</w:t>
            </w:r>
            <w:r w:rsidRPr="00923C8E">
              <w:rPr>
                <w:rFonts w:ascii="Arial" w:hAnsi="Arial" w:cs="Arial"/>
                <w:i/>
                <w:sz w:val="22"/>
                <w:szCs w:val="22"/>
              </w:rPr>
              <w:t xml:space="preserve"> </w:t>
            </w:r>
            <w:r w:rsidRPr="00BC770C">
              <w:rPr>
                <w:rFonts w:ascii="Arial" w:hAnsi="Arial" w:cs="Arial"/>
                <w:sz w:val="22"/>
                <w:szCs w:val="22"/>
              </w:rPr>
              <w:t xml:space="preserve">Codes </w:t>
            </w:r>
            <w:r w:rsidRPr="00923C8E">
              <w:rPr>
                <w:rFonts w:ascii="Arial" w:hAnsi="Arial" w:cs="Arial"/>
                <w:sz w:val="22"/>
                <w:szCs w:val="22"/>
              </w:rPr>
              <w:t>shall be met.</w:t>
            </w:r>
          </w:p>
          <w:p w14:paraId="6223D29E" w14:textId="307FA78B" w:rsidR="00923C8E" w:rsidRDefault="00923C8E" w:rsidP="00923C8E">
            <w:pPr>
              <w:tabs>
                <w:tab w:val="left" w:pos="432"/>
              </w:tabs>
              <w:ind w:left="360"/>
              <w:rPr>
                <w:rFonts w:ascii="Arial" w:hAnsi="Arial" w:cs="Arial"/>
                <w:sz w:val="22"/>
                <w:szCs w:val="22"/>
              </w:rPr>
            </w:pPr>
          </w:p>
        </w:tc>
      </w:tr>
    </w:tbl>
    <w:p w14:paraId="165A4B9D" w14:textId="77777777" w:rsidR="00FE1AC3" w:rsidRPr="009F2B59" w:rsidRDefault="00FE1AC3" w:rsidP="00FE1AC3">
      <w:pPr>
        <w:rPr>
          <w:rFonts w:asciiTheme="minorHAnsi" w:hAnsiTheme="minorHAnsi" w:cstheme="minorHAnsi"/>
          <w:i/>
          <w:sz w:val="26"/>
          <w:szCs w:val="26"/>
        </w:rPr>
      </w:pPr>
    </w:p>
    <w:p w14:paraId="28927D94" w14:textId="66834B0C" w:rsidR="00F2444A" w:rsidRPr="00923C8E" w:rsidRDefault="00BC770C" w:rsidP="00C15A0B">
      <w:pPr>
        <w:widowControl/>
        <w:rPr>
          <w:rFonts w:ascii="Arial" w:hAnsi="Arial" w:cs="Arial"/>
          <w:b/>
          <w:bCs/>
          <w:i/>
          <w:iCs/>
          <w:sz w:val="22"/>
          <w:szCs w:val="22"/>
        </w:rPr>
      </w:pPr>
      <w:r w:rsidRPr="00BC770C">
        <w:rPr>
          <w:rFonts w:ascii="Arial" w:hAnsi="Arial" w:cs="Arial"/>
          <w:b/>
          <w:bCs/>
          <w:iCs/>
          <w:sz w:val="22"/>
          <w:szCs w:val="22"/>
        </w:rPr>
        <w:t xml:space="preserve">Option </w:t>
      </w:r>
      <w:r w:rsidR="00C15A0B">
        <w:rPr>
          <w:rFonts w:ascii="Arial" w:hAnsi="Arial" w:cs="Arial"/>
          <w:b/>
          <w:bCs/>
          <w:iCs/>
          <w:sz w:val="22"/>
          <w:szCs w:val="22"/>
        </w:rPr>
        <w:t>2</w:t>
      </w:r>
      <w:r w:rsidRPr="00BC770C">
        <w:rPr>
          <w:rFonts w:ascii="Arial" w:hAnsi="Arial" w:cs="Arial"/>
          <w:b/>
          <w:bCs/>
          <w:iCs/>
          <w:sz w:val="22"/>
          <w:szCs w:val="22"/>
        </w:rPr>
        <w:t xml:space="preserve">. Use this amendment to </w:t>
      </w:r>
      <w:r w:rsidR="00C15A0B">
        <w:rPr>
          <w:rFonts w:ascii="Arial" w:hAnsi="Arial" w:cs="Arial"/>
          <w:b/>
          <w:bCs/>
          <w:iCs/>
          <w:sz w:val="22"/>
          <w:szCs w:val="22"/>
        </w:rPr>
        <w:t xml:space="preserve">require residential building lots to have buildable area outside the flood hazard area. </w:t>
      </w:r>
    </w:p>
    <w:p w14:paraId="5B9EE837" w14:textId="77777777" w:rsidR="00F2444A" w:rsidRPr="00923C8E" w:rsidRDefault="00F2444A" w:rsidP="00F2444A">
      <w:pPr>
        <w:widowControl/>
        <w:rPr>
          <w:rFonts w:ascii="Arial" w:hAnsi="Arial" w:cs="Arial"/>
          <w:b/>
          <w:bCs/>
          <w:i/>
          <w:iCs/>
          <w:sz w:val="22"/>
          <w:szCs w:val="22"/>
        </w:rPr>
      </w:pPr>
    </w:p>
    <w:tbl>
      <w:tblPr>
        <w:tblStyle w:val="TableGrid"/>
        <w:tblW w:w="0" w:type="auto"/>
        <w:tblInd w:w="738" w:type="dxa"/>
        <w:tblLook w:val="04A0" w:firstRow="1" w:lastRow="0" w:firstColumn="1" w:lastColumn="0" w:noHBand="0" w:noVBand="1"/>
      </w:tblPr>
      <w:tblGrid>
        <w:gridCol w:w="8370"/>
      </w:tblGrid>
      <w:tr w:rsidR="00F2444A" w14:paraId="407E6626" w14:textId="77777777" w:rsidTr="001E19BD">
        <w:tc>
          <w:tcPr>
            <w:tcW w:w="8370" w:type="dxa"/>
          </w:tcPr>
          <w:p w14:paraId="7A3F5ADF" w14:textId="77777777" w:rsidR="00F2444A" w:rsidRDefault="00F2444A" w:rsidP="001E19BD">
            <w:pPr>
              <w:widowControl/>
              <w:rPr>
                <w:rFonts w:ascii="Arial" w:hAnsi="Arial" w:cs="Arial"/>
                <w:b/>
                <w:sz w:val="22"/>
                <w:szCs w:val="22"/>
              </w:rPr>
            </w:pPr>
          </w:p>
          <w:p w14:paraId="0882D161" w14:textId="77777777" w:rsidR="00186C1D" w:rsidRDefault="00186C1D" w:rsidP="00186C1D">
            <w:pPr>
              <w:widowControl/>
              <w:rPr>
                <w:rFonts w:ascii="Arial" w:hAnsi="Arial" w:cs="Arial"/>
                <w:b/>
                <w:sz w:val="22"/>
                <w:szCs w:val="22"/>
              </w:rPr>
            </w:pPr>
            <w:r>
              <w:rPr>
                <w:rFonts w:ascii="Arial" w:hAnsi="Arial" w:cs="Arial"/>
                <w:bCs/>
                <w:i/>
                <w:iCs/>
                <w:sz w:val="22"/>
                <w:szCs w:val="22"/>
              </w:rPr>
              <w:t>CCR Title 24, Part 2 Appendix G Section G</w:t>
            </w:r>
            <w:proofErr w:type="gramStart"/>
            <w:r>
              <w:rPr>
                <w:rFonts w:ascii="Arial" w:hAnsi="Arial" w:cs="Arial"/>
                <w:bCs/>
                <w:i/>
                <w:iCs/>
                <w:sz w:val="22"/>
                <w:szCs w:val="22"/>
              </w:rPr>
              <w:t>301  is</w:t>
            </w:r>
            <w:proofErr w:type="gramEnd"/>
            <w:r>
              <w:rPr>
                <w:rFonts w:ascii="Arial" w:hAnsi="Arial" w:cs="Arial"/>
                <w:bCs/>
                <w:i/>
                <w:iCs/>
                <w:sz w:val="22"/>
                <w:szCs w:val="22"/>
              </w:rPr>
              <w:t xml:space="preserve"> hereby amended as follows:</w:t>
            </w:r>
            <w:r>
              <w:rPr>
                <w:rFonts w:ascii="Arial" w:hAnsi="Arial" w:cs="Arial"/>
                <w:b/>
                <w:sz w:val="22"/>
                <w:szCs w:val="22"/>
              </w:rPr>
              <w:t xml:space="preserve"> </w:t>
            </w:r>
          </w:p>
          <w:p w14:paraId="2F06069D" w14:textId="77777777" w:rsidR="00F2444A" w:rsidRDefault="00F2444A" w:rsidP="001E19BD">
            <w:pPr>
              <w:widowControl/>
              <w:rPr>
                <w:rFonts w:ascii="Arial" w:hAnsi="Arial" w:cs="Arial"/>
                <w:b/>
                <w:sz w:val="22"/>
                <w:szCs w:val="22"/>
              </w:rPr>
            </w:pPr>
          </w:p>
          <w:p w14:paraId="72F93B2A" w14:textId="77777777" w:rsidR="00F2444A" w:rsidRPr="00F2444A" w:rsidRDefault="00F2444A" w:rsidP="00F2444A">
            <w:pPr>
              <w:pStyle w:val="IBCRequirement"/>
              <w:keepNext w:val="0"/>
              <w:rPr>
                <w:sz w:val="22"/>
              </w:rPr>
            </w:pPr>
            <w:r w:rsidRPr="00F2444A">
              <w:rPr>
                <w:b/>
                <w:bCs/>
                <w:sz w:val="22"/>
              </w:rPr>
              <w:t>G301.2 Subdivision requirements.</w:t>
            </w:r>
            <w:r w:rsidRPr="00F2444A">
              <w:rPr>
                <w:sz w:val="22"/>
              </w:rPr>
              <w:t xml:space="preserve"> The following requirements shall apply in the case of any proposed subdivision, including proposals for manufactured home parks and subdivisions, any portion of which lies within a flood hazard area: </w:t>
            </w:r>
          </w:p>
          <w:p w14:paraId="69729942" w14:textId="77777777" w:rsidR="00BC770C" w:rsidRDefault="00F2444A" w:rsidP="00BC770C">
            <w:pPr>
              <w:pStyle w:val="IBClistnumber"/>
              <w:numPr>
                <w:ilvl w:val="0"/>
                <w:numId w:val="25"/>
              </w:numPr>
              <w:rPr>
                <w:rFonts w:ascii="Arial" w:hAnsi="Arial" w:cs="Arial"/>
                <w:sz w:val="22"/>
              </w:rPr>
            </w:pPr>
            <w:r w:rsidRPr="00F2444A">
              <w:rPr>
                <w:rFonts w:ascii="Arial" w:hAnsi="Arial" w:cs="Arial"/>
                <w:sz w:val="22"/>
              </w:rPr>
              <w:t xml:space="preserve">The flood hazard area, including floodways, coastal high-hazard </w:t>
            </w:r>
            <w:proofErr w:type="gramStart"/>
            <w:r w:rsidRPr="00F2444A">
              <w:rPr>
                <w:rFonts w:ascii="Arial" w:hAnsi="Arial" w:cs="Arial"/>
                <w:sz w:val="22"/>
              </w:rPr>
              <w:t>areas</w:t>
            </w:r>
            <w:proofErr w:type="gramEnd"/>
            <w:r w:rsidRPr="00F2444A">
              <w:rPr>
                <w:rFonts w:ascii="Arial" w:hAnsi="Arial" w:cs="Arial"/>
                <w:sz w:val="22"/>
              </w:rPr>
              <w:t xml:space="preserve"> and coastal A zones, as appropriate, shall be delineated on tentative and final subdivision plats.</w:t>
            </w:r>
          </w:p>
          <w:p w14:paraId="2213C525" w14:textId="77777777" w:rsidR="00BC770C" w:rsidRDefault="00F2444A" w:rsidP="00BC770C">
            <w:pPr>
              <w:pStyle w:val="IBClistnumber"/>
              <w:numPr>
                <w:ilvl w:val="0"/>
                <w:numId w:val="25"/>
              </w:numPr>
              <w:rPr>
                <w:rFonts w:ascii="Arial" w:hAnsi="Arial" w:cs="Arial"/>
                <w:sz w:val="22"/>
              </w:rPr>
            </w:pPr>
            <w:r w:rsidRPr="00BC770C">
              <w:rPr>
                <w:rFonts w:ascii="Arial" w:hAnsi="Arial" w:cs="Arial"/>
                <w:sz w:val="22"/>
              </w:rPr>
              <w:t xml:space="preserve">Design flood elevations shall be shown on tentative and final subdivision plats. </w:t>
            </w:r>
          </w:p>
          <w:p w14:paraId="6016A98C" w14:textId="77777777" w:rsidR="00C15A0B" w:rsidRDefault="00F2444A" w:rsidP="00C15A0B">
            <w:pPr>
              <w:pStyle w:val="IBClistnumber"/>
              <w:numPr>
                <w:ilvl w:val="0"/>
                <w:numId w:val="25"/>
              </w:numPr>
              <w:rPr>
                <w:rFonts w:ascii="Arial" w:hAnsi="Arial" w:cs="Arial"/>
                <w:sz w:val="22"/>
              </w:rPr>
            </w:pPr>
            <w:r w:rsidRPr="00BC770C">
              <w:rPr>
                <w:rFonts w:ascii="Arial" w:hAnsi="Arial" w:cs="Arial"/>
                <w:sz w:val="22"/>
              </w:rPr>
              <w:t xml:space="preserve">Residential building lots shall be provided with adequate buildable area outside the </w:t>
            </w:r>
            <w:r w:rsidRPr="00BC770C">
              <w:rPr>
                <w:rFonts w:ascii="Arial" w:hAnsi="Arial" w:cs="Arial"/>
                <w:sz w:val="22"/>
                <w:u w:val="single"/>
              </w:rPr>
              <w:t>flood hazard area</w:t>
            </w:r>
            <w:r w:rsidRPr="00BC770C">
              <w:rPr>
                <w:rFonts w:ascii="Arial" w:hAnsi="Arial" w:cs="Arial"/>
                <w:sz w:val="22"/>
              </w:rPr>
              <w:t xml:space="preserve"> </w:t>
            </w:r>
            <w:r w:rsidRPr="00BC770C">
              <w:rPr>
                <w:rFonts w:ascii="Arial" w:hAnsi="Arial" w:cs="Arial"/>
                <w:strike/>
                <w:sz w:val="22"/>
              </w:rPr>
              <w:t>floodway</w:t>
            </w:r>
            <w:r w:rsidRPr="00BC770C">
              <w:rPr>
                <w:rFonts w:ascii="Arial" w:hAnsi="Arial" w:cs="Arial"/>
                <w:sz w:val="22"/>
              </w:rPr>
              <w:t xml:space="preserve">. </w:t>
            </w:r>
          </w:p>
          <w:p w14:paraId="56422F69" w14:textId="275F5CF6" w:rsidR="00F2444A" w:rsidRPr="00C15A0B" w:rsidRDefault="00F2444A" w:rsidP="00C15A0B">
            <w:pPr>
              <w:pStyle w:val="IBClistnumber"/>
              <w:numPr>
                <w:ilvl w:val="0"/>
                <w:numId w:val="25"/>
              </w:numPr>
              <w:rPr>
                <w:rFonts w:ascii="Arial" w:hAnsi="Arial" w:cs="Arial"/>
                <w:sz w:val="22"/>
              </w:rPr>
            </w:pPr>
            <w:r w:rsidRPr="00C15A0B">
              <w:rPr>
                <w:rFonts w:ascii="Arial" w:hAnsi="Arial" w:cs="Arial"/>
                <w:sz w:val="22"/>
              </w:rPr>
              <w:t xml:space="preserve">The design criteria for utilities and facilities set forth in this appendix and appropriate </w:t>
            </w:r>
            <w:r w:rsidR="00BC770C" w:rsidRPr="00DA24D1">
              <w:rPr>
                <w:rFonts w:ascii="Arial" w:hAnsi="Arial" w:cs="Arial"/>
                <w:sz w:val="22"/>
              </w:rPr>
              <w:t>International</w:t>
            </w:r>
            <w:r w:rsidR="00BC770C" w:rsidRPr="00DA24D1">
              <w:rPr>
                <w:rFonts w:ascii="Arial" w:hAnsi="Arial" w:cs="Arial"/>
                <w:i/>
                <w:sz w:val="22"/>
              </w:rPr>
              <w:t xml:space="preserve"> </w:t>
            </w:r>
            <w:r w:rsidR="00BC770C" w:rsidRPr="00C15A0B">
              <w:rPr>
                <w:rFonts w:ascii="Arial" w:hAnsi="Arial" w:cs="Arial"/>
                <w:sz w:val="22"/>
              </w:rPr>
              <w:t xml:space="preserve">Codes </w:t>
            </w:r>
            <w:r w:rsidRPr="00C15A0B">
              <w:rPr>
                <w:rFonts w:ascii="Arial" w:hAnsi="Arial" w:cs="Arial"/>
                <w:sz w:val="22"/>
              </w:rPr>
              <w:t>shall be met.</w:t>
            </w:r>
          </w:p>
          <w:p w14:paraId="79DD792B" w14:textId="6CFA37F9" w:rsidR="00F2444A" w:rsidRDefault="00F2444A" w:rsidP="00F2444A">
            <w:pPr>
              <w:tabs>
                <w:tab w:val="left" w:pos="432"/>
              </w:tabs>
              <w:ind w:left="360"/>
              <w:rPr>
                <w:rFonts w:ascii="Arial" w:hAnsi="Arial" w:cs="Arial"/>
                <w:sz w:val="22"/>
                <w:szCs w:val="22"/>
              </w:rPr>
            </w:pPr>
          </w:p>
        </w:tc>
      </w:tr>
    </w:tbl>
    <w:p w14:paraId="3F083064" w14:textId="77777777" w:rsidR="00923C8E" w:rsidRDefault="00923C8E" w:rsidP="0093485F">
      <w:pPr>
        <w:widowControl/>
        <w:spacing w:before="120" w:after="120"/>
        <w:rPr>
          <w:rFonts w:asciiTheme="minorHAnsi" w:hAnsiTheme="minorHAnsi" w:cstheme="minorHAnsi"/>
          <w:sz w:val="28"/>
          <w:szCs w:val="28"/>
        </w:rPr>
      </w:pPr>
    </w:p>
    <w:p w14:paraId="21DA0286" w14:textId="55E2F9A7"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61D3" w14:textId="77777777" w:rsidR="00697A21" w:rsidRDefault="00697A21" w:rsidP="00273EEE">
      <w:r>
        <w:separator/>
      </w:r>
    </w:p>
  </w:endnote>
  <w:endnote w:type="continuationSeparator" w:id="0">
    <w:p w14:paraId="17A181C9" w14:textId="77777777" w:rsidR="00697A21" w:rsidRDefault="00697A21"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64ED38BA" w:rsidR="00273EEE" w:rsidRPr="00273EEE" w:rsidRDefault="00273EEE">
    <w:pPr>
      <w:pStyle w:val="Footer"/>
      <w:rPr>
        <w:rFonts w:ascii="Arial" w:hAnsi="Arial" w:cs="Arial"/>
      </w:rPr>
    </w:pPr>
    <w:r>
      <w:rPr>
        <w:rFonts w:ascii="Arial" w:hAnsi="Arial" w:cs="Arial"/>
      </w:rPr>
      <w:t>Higher Standard:</w:t>
    </w:r>
    <w:r w:rsidR="00C15A0B">
      <w:rPr>
        <w:rFonts w:ascii="Arial" w:hAnsi="Arial" w:cs="Arial"/>
      </w:rPr>
      <w:t xml:space="preserve"> Subdivision Limits (</w:t>
    </w:r>
    <w:r w:rsidR="00427DE8">
      <w:rPr>
        <w:rFonts w:ascii="Arial" w:hAnsi="Arial" w:cs="Arial"/>
      </w:rPr>
      <w:t>August</w:t>
    </w:r>
    <w:r w:rsidR="00186C1D">
      <w:rPr>
        <w:rFonts w:ascii="Arial" w:hAnsi="Arial" w:cs="Arial"/>
      </w:rPr>
      <w:t xml:space="preserve"> 2020</w:t>
    </w:r>
    <w:r w:rsidR="009F2B59">
      <w:rPr>
        <w:rFonts w:ascii="Arial" w:hAnsi="Arial" w:cs="Arial"/>
      </w:rPr>
      <w:t>)</w:t>
    </w:r>
    <w:r w:rsidR="00C15A0B">
      <w:rPr>
        <w:rFonts w:ascii="Arial" w:hAnsi="Arial" w:cs="Arial"/>
      </w:rPr>
      <w:tab/>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486A9F">
      <w:rPr>
        <w:rFonts w:ascii="Arial" w:hAnsi="Arial" w:cs="Arial"/>
        <w:noProof/>
      </w:rPr>
      <w:t>5</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9C22" w14:textId="77777777" w:rsidR="00697A21" w:rsidRDefault="00697A21" w:rsidP="00273EEE">
      <w:r>
        <w:separator/>
      </w:r>
    </w:p>
  </w:footnote>
  <w:footnote w:type="continuationSeparator" w:id="0">
    <w:p w14:paraId="0447DF41" w14:textId="77777777" w:rsidR="00697A21" w:rsidRDefault="00697A21" w:rsidP="00273EEE">
      <w:r>
        <w:continuationSeparator/>
      </w:r>
    </w:p>
  </w:footnote>
  <w:footnote w:id="1">
    <w:p w14:paraId="5CB809F3" w14:textId="6D30AA4A" w:rsidR="00FE14F6" w:rsidRDefault="00FE14F6">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D9A"/>
    <w:multiLevelType w:val="hybridMultilevel"/>
    <w:tmpl w:val="68B0893C"/>
    <w:lvl w:ilvl="0" w:tplc="49E43F3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38DA"/>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7F7F"/>
    <w:multiLevelType w:val="hybridMultilevel"/>
    <w:tmpl w:val="5BF42B8C"/>
    <w:lvl w:ilvl="0" w:tplc="88D4AD5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1BEB4C7E"/>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C1D9D"/>
    <w:multiLevelType w:val="hybridMultilevel"/>
    <w:tmpl w:val="EA3EE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1A1674"/>
    <w:multiLevelType w:val="hybridMultilevel"/>
    <w:tmpl w:val="4324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94AC9"/>
    <w:multiLevelType w:val="hybridMultilevel"/>
    <w:tmpl w:val="66183E32"/>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6E2C5592"/>
    <w:multiLevelType w:val="hybridMultilevel"/>
    <w:tmpl w:val="6B843BEE"/>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6"/>
  </w:num>
  <w:num w:numId="4">
    <w:abstractNumId w:val="25"/>
  </w:num>
  <w:num w:numId="5">
    <w:abstractNumId w:val="13"/>
  </w:num>
  <w:num w:numId="6">
    <w:abstractNumId w:val="18"/>
  </w:num>
  <w:num w:numId="7">
    <w:abstractNumId w:val="27"/>
  </w:num>
  <w:num w:numId="8">
    <w:abstractNumId w:val="11"/>
  </w:num>
  <w:num w:numId="9">
    <w:abstractNumId w:val="15"/>
  </w:num>
  <w:num w:numId="10">
    <w:abstractNumId w:val="6"/>
  </w:num>
  <w:num w:numId="11">
    <w:abstractNumId w:val="12"/>
  </w:num>
  <w:num w:numId="12">
    <w:abstractNumId w:val="21"/>
  </w:num>
  <w:num w:numId="13">
    <w:abstractNumId w:val="20"/>
  </w:num>
  <w:num w:numId="14">
    <w:abstractNumId w:val="22"/>
  </w:num>
  <w:num w:numId="15">
    <w:abstractNumId w:val="23"/>
  </w:num>
  <w:num w:numId="16">
    <w:abstractNumId w:val="4"/>
  </w:num>
  <w:num w:numId="17">
    <w:abstractNumId w:val="3"/>
  </w:num>
  <w:num w:numId="18">
    <w:abstractNumId w:val="9"/>
  </w:num>
  <w:num w:numId="19">
    <w:abstractNumId w:val="19"/>
  </w:num>
  <w:num w:numId="20">
    <w:abstractNumId w:val="16"/>
  </w:num>
  <w:num w:numId="21">
    <w:abstractNumId w:val="6"/>
    <w:lvlOverride w:ilvl="0">
      <w:startOverride w:val="1"/>
    </w:lvlOverride>
  </w:num>
  <w:num w:numId="22">
    <w:abstractNumId w:val="6"/>
    <w:lvlOverride w:ilvl="0">
      <w:startOverride w:val="1"/>
    </w:lvlOverride>
  </w:num>
  <w:num w:numId="23">
    <w:abstractNumId w:val="10"/>
  </w:num>
  <w:num w:numId="24">
    <w:abstractNumId w:val="0"/>
  </w:num>
  <w:num w:numId="25">
    <w:abstractNumId w:val="2"/>
  </w:num>
  <w:num w:numId="26">
    <w:abstractNumId w:val="17"/>
  </w:num>
  <w:num w:numId="27">
    <w:abstractNumId w:val="5"/>
  </w:num>
  <w:num w:numId="28">
    <w:abstractNumId w:val="8"/>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734FA"/>
    <w:rsid w:val="00073D73"/>
    <w:rsid w:val="00075DED"/>
    <w:rsid w:val="00076A36"/>
    <w:rsid w:val="000957F2"/>
    <w:rsid w:val="000975DE"/>
    <w:rsid w:val="000A0608"/>
    <w:rsid w:val="000A3BDC"/>
    <w:rsid w:val="000E170E"/>
    <w:rsid w:val="001150DA"/>
    <w:rsid w:val="0013591C"/>
    <w:rsid w:val="001443C4"/>
    <w:rsid w:val="00145EEB"/>
    <w:rsid w:val="00160F6B"/>
    <w:rsid w:val="00167D99"/>
    <w:rsid w:val="00186C1D"/>
    <w:rsid w:val="00191974"/>
    <w:rsid w:val="001D289D"/>
    <w:rsid w:val="001E2692"/>
    <w:rsid w:val="001E3F2C"/>
    <w:rsid w:val="001E49A9"/>
    <w:rsid w:val="001F16E0"/>
    <w:rsid w:val="001F268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4668"/>
    <w:rsid w:val="00277B0C"/>
    <w:rsid w:val="002800CB"/>
    <w:rsid w:val="002872ED"/>
    <w:rsid w:val="002927D3"/>
    <w:rsid w:val="00294DF4"/>
    <w:rsid w:val="002C4F50"/>
    <w:rsid w:val="002C5760"/>
    <w:rsid w:val="002C6876"/>
    <w:rsid w:val="002C79CE"/>
    <w:rsid w:val="002C7B99"/>
    <w:rsid w:val="002D31EF"/>
    <w:rsid w:val="002D3791"/>
    <w:rsid w:val="002D57EA"/>
    <w:rsid w:val="002E0DB9"/>
    <w:rsid w:val="002F54A3"/>
    <w:rsid w:val="00302CF1"/>
    <w:rsid w:val="00342B21"/>
    <w:rsid w:val="00343D8A"/>
    <w:rsid w:val="003505AC"/>
    <w:rsid w:val="003510BB"/>
    <w:rsid w:val="0036563E"/>
    <w:rsid w:val="00376E24"/>
    <w:rsid w:val="00383357"/>
    <w:rsid w:val="00397C44"/>
    <w:rsid w:val="003A660F"/>
    <w:rsid w:val="003C3801"/>
    <w:rsid w:val="003D3DB4"/>
    <w:rsid w:val="003D4EFB"/>
    <w:rsid w:val="003D67F5"/>
    <w:rsid w:val="003E244E"/>
    <w:rsid w:val="003E4A3A"/>
    <w:rsid w:val="003F2DBD"/>
    <w:rsid w:val="003F3865"/>
    <w:rsid w:val="004112CA"/>
    <w:rsid w:val="004118EA"/>
    <w:rsid w:val="00411D73"/>
    <w:rsid w:val="00415A3C"/>
    <w:rsid w:val="00427DE8"/>
    <w:rsid w:val="0043177A"/>
    <w:rsid w:val="004611AB"/>
    <w:rsid w:val="00464FB6"/>
    <w:rsid w:val="00466CD4"/>
    <w:rsid w:val="00467D6B"/>
    <w:rsid w:val="00486A9F"/>
    <w:rsid w:val="00490D85"/>
    <w:rsid w:val="004A1740"/>
    <w:rsid w:val="004A215D"/>
    <w:rsid w:val="004B3031"/>
    <w:rsid w:val="004C44B8"/>
    <w:rsid w:val="004D0BF0"/>
    <w:rsid w:val="004D2D10"/>
    <w:rsid w:val="004E4F45"/>
    <w:rsid w:val="004F5009"/>
    <w:rsid w:val="004F6805"/>
    <w:rsid w:val="00547A32"/>
    <w:rsid w:val="00552A37"/>
    <w:rsid w:val="005624E0"/>
    <w:rsid w:val="00571CED"/>
    <w:rsid w:val="005850DE"/>
    <w:rsid w:val="00586399"/>
    <w:rsid w:val="005A1CA9"/>
    <w:rsid w:val="005C026D"/>
    <w:rsid w:val="005D41A2"/>
    <w:rsid w:val="005D41E6"/>
    <w:rsid w:val="005F6538"/>
    <w:rsid w:val="00602446"/>
    <w:rsid w:val="00604491"/>
    <w:rsid w:val="0061390D"/>
    <w:rsid w:val="0061695B"/>
    <w:rsid w:val="0063236D"/>
    <w:rsid w:val="0064517F"/>
    <w:rsid w:val="00654602"/>
    <w:rsid w:val="00661CA7"/>
    <w:rsid w:val="006716BB"/>
    <w:rsid w:val="00680D7D"/>
    <w:rsid w:val="00697451"/>
    <w:rsid w:val="00697A21"/>
    <w:rsid w:val="006A6520"/>
    <w:rsid w:val="006B67DD"/>
    <w:rsid w:val="006B767D"/>
    <w:rsid w:val="006D7082"/>
    <w:rsid w:val="00706812"/>
    <w:rsid w:val="00706CD4"/>
    <w:rsid w:val="00707D74"/>
    <w:rsid w:val="00710D0D"/>
    <w:rsid w:val="00715954"/>
    <w:rsid w:val="00720D79"/>
    <w:rsid w:val="00725C52"/>
    <w:rsid w:val="0075066E"/>
    <w:rsid w:val="00756CC3"/>
    <w:rsid w:val="00784178"/>
    <w:rsid w:val="007A6764"/>
    <w:rsid w:val="007C0024"/>
    <w:rsid w:val="007C6727"/>
    <w:rsid w:val="007D39D5"/>
    <w:rsid w:val="008040A2"/>
    <w:rsid w:val="008051C9"/>
    <w:rsid w:val="0080648C"/>
    <w:rsid w:val="008174C4"/>
    <w:rsid w:val="00822DA4"/>
    <w:rsid w:val="00831D95"/>
    <w:rsid w:val="0083637F"/>
    <w:rsid w:val="00836A9A"/>
    <w:rsid w:val="0084585D"/>
    <w:rsid w:val="008463A8"/>
    <w:rsid w:val="0085387F"/>
    <w:rsid w:val="00855D7B"/>
    <w:rsid w:val="00857BBD"/>
    <w:rsid w:val="00893BB6"/>
    <w:rsid w:val="00897708"/>
    <w:rsid w:val="008E2ADB"/>
    <w:rsid w:val="008F0BD5"/>
    <w:rsid w:val="00906213"/>
    <w:rsid w:val="00921386"/>
    <w:rsid w:val="00923C8E"/>
    <w:rsid w:val="00927E2D"/>
    <w:rsid w:val="0093485F"/>
    <w:rsid w:val="00936481"/>
    <w:rsid w:val="0094244D"/>
    <w:rsid w:val="009427DC"/>
    <w:rsid w:val="0095125C"/>
    <w:rsid w:val="00954EA8"/>
    <w:rsid w:val="00975AFF"/>
    <w:rsid w:val="009962C0"/>
    <w:rsid w:val="00997D92"/>
    <w:rsid w:val="009A4603"/>
    <w:rsid w:val="009A74DD"/>
    <w:rsid w:val="009B2E58"/>
    <w:rsid w:val="009C0043"/>
    <w:rsid w:val="009C582C"/>
    <w:rsid w:val="009C5AE3"/>
    <w:rsid w:val="009D5E5A"/>
    <w:rsid w:val="009F2B59"/>
    <w:rsid w:val="00A0620E"/>
    <w:rsid w:val="00A31CA7"/>
    <w:rsid w:val="00A43454"/>
    <w:rsid w:val="00A65FCE"/>
    <w:rsid w:val="00A90F97"/>
    <w:rsid w:val="00A93BCD"/>
    <w:rsid w:val="00AD0C4D"/>
    <w:rsid w:val="00AD5EBB"/>
    <w:rsid w:val="00AD75B8"/>
    <w:rsid w:val="00AE6ED4"/>
    <w:rsid w:val="00B00932"/>
    <w:rsid w:val="00B13135"/>
    <w:rsid w:val="00B21F95"/>
    <w:rsid w:val="00B2565D"/>
    <w:rsid w:val="00B25AD4"/>
    <w:rsid w:val="00B2638B"/>
    <w:rsid w:val="00B4006E"/>
    <w:rsid w:val="00B61CDC"/>
    <w:rsid w:val="00B74955"/>
    <w:rsid w:val="00B75958"/>
    <w:rsid w:val="00B777E7"/>
    <w:rsid w:val="00B9420F"/>
    <w:rsid w:val="00BA1D14"/>
    <w:rsid w:val="00BB195B"/>
    <w:rsid w:val="00BB4AF1"/>
    <w:rsid w:val="00BB69F2"/>
    <w:rsid w:val="00BC770C"/>
    <w:rsid w:val="00BE7315"/>
    <w:rsid w:val="00C04D2B"/>
    <w:rsid w:val="00C054AE"/>
    <w:rsid w:val="00C058D8"/>
    <w:rsid w:val="00C15A0B"/>
    <w:rsid w:val="00C22B44"/>
    <w:rsid w:val="00C2690C"/>
    <w:rsid w:val="00C3303D"/>
    <w:rsid w:val="00C33B8C"/>
    <w:rsid w:val="00C3424D"/>
    <w:rsid w:val="00C44018"/>
    <w:rsid w:val="00C66EFE"/>
    <w:rsid w:val="00C70A09"/>
    <w:rsid w:val="00C72E7B"/>
    <w:rsid w:val="00C922E3"/>
    <w:rsid w:val="00C96208"/>
    <w:rsid w:val="00CA2450"/>
    <w:rsid w:val="00CA6DF3"/>
    <w:rsid w:val="00CB1698"/>
    <w:rsid w:val="00CB2723"/>
    <w:rsid w:val="00CD2FB9"/>
    <w:rsid w:val="00CD7E49"/>
    <w:rsid w:val="00CE494B"/>
    <w:rsid w:val="00D043F9"/>
    <w:rsid w:val="00D4263B"/>
    <w:rsid w:val="00D51D60"/>
    <w:rsid w:val="00D75305"/>
    <w:rsid w:val="00D8176D"/>
    <w:rsid w:val="00D8522F"/>
    <w:rsid w:val="00DA24D1"/>
    <w:rsid w:val="00DB3393"/>
    <w:rsid w:val="00DB6C00"/>
    <w:rsid w:val="00DB77C9"/>
    <w:rsid w:val="00DC0C1A"/>
    <w:rsid w:val="00DD1BD1"/>
    <w:rsid w:val="00E02465"/>
    <w:rsid w:val="00E3643A"/>
    <w:rsid w:val="00E43DBD"/>
    <w:rsid w:val="00E57BD6"/>
    <w:rsid w:val="00E7430C"/>
    <w:rsid w:val="00E821F7"/>
    <w:rsid w:val="00E832A3"/>
    <w:rsid w:val="00EB3DD0"/>
    <w:rsid w:val="00EC23D2"/>
    <w:rsid w:val="00EC3F08"/>
    <w:rsid w:val="00ED7F00"/>
    <w:rsid w:val="00F00B45"/>
    <w:rsid w:val="00F01498"/>
    <w:rsid w:val="00F049DD"/>
    <w:rsid w:val="00F1173D"/>
    <w:rsid w:val="00F132BC"/>
    <w:rsid w:val="00F13B0F"/>
    <w:rsid w:val="00F13F41"/>
    <w:rsid w:val="00F14205"/>
    <w:rsid w:val="00F14279"/>
    <w:rsid w:val="00F157CC"/>
    <w:rsid w:val="00F20500"/>
    <w:rsid w:val="00F2444A"/>
    <w:rsid w:val="00F32CA1"/>
    <w:rsid w:val="00F359AF"/>
    <w:rsid w:val="00F4079F"/>
    <w:rsid w:val="00F61785"/>
    <w:rsid w:val="00FA20C5"/>
    <w:rsid w:val="00FA7819"/>
    <w:rsid w:val="00FB4F76"/>
    <w:rsid w:val="00FC283B"/>
    <w:rsid w:val="00FC3170"/>
    <w:rsid w:val="00FC414C"/>
    <w:rsid w:val="00FC6295"/>
    <w:rsid w:val="00FC7B4C"/>
    <w:rsid w:val="00FD1DE8"/>
    <w:rsid w:val="00FE14F6"/>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RFLTextboxbody">
    <w:name w:val="RFL Textbox body"/>
    <w:rsid w:val="00923C8E"/>
    <w:pPr>
      <w:spacing w:before="0" w:after="60"/>
    </w:pPr>
    <w:rPr>
      <w:rFonts w:ascii="Franklin Gothic Book" w:eastAsia="Times New Roman" w:hAnsi="Franklin Gothic Book" w:cs="Times New Roman"/>
      <w:sz w:val="20"/>
      <w:szCs w:val="20"/>
    </w:rPr>
  </w:style>
  <w:style w:type="paragraph" w:customStyle="1" w:styleId="RFLTextboxHeading">
    <w:name w:val="RFL Textbox Heading"/>
    <w:qFormat/>
    <w:rsid w:val="00923C8E"/>
    <w:pPr>
      <w:spacing w:before="60" w:after="60"/>
      <w:jc w:val="center"/>
    </w:pPr>
    <w:rPr>
      <w:rFonts w:ascii="Franklin Gothic Book" w:eastAsia="Times New Roman" w:hAnsi="Franklin Gothic Book" w:cs="Times New Roman"/>
      <w:b/>
      <w:bCs/>
      <w:sz w:val="20"/>
    </w:rPr>
  </w:style>
  <w:style w:type="paragraph" w:customStyle="1" w:styleId="IBCRequirement">
    <w:name w:val="IBC Requirement"/>
    <w:qFormat/>
    <w:rsid w:val="00923C8E"/>
    <w:pPr>
      <w:keepNext/>
      <w:tabs>
        <w:tab w:val="left" w:pos="432"/>
      </w:tabs>
      <w:ind w:left="432"/>
    </w:pPr>
    <w:rPr>
      <w:rFonts w:ascii="Arial" w:eastAsia="Times New Roman" w:hAnsi="Arial" w:cs="Arial"/>
      <w:sz w:val="20"/>
    </w:rPr>
  </w:style>
  <w:style w:type="paragraph" w:customStyle="1" w:styleId="IBClistnumber">
    <w:name w:val="IBC list number"/>
    <w:qFormat/>
    <w:rsid w:val="00923C8E"/>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character" w:customStyle="1" w:styleId="ListParagraphChar">
    <w:name w:val="List Paragraph Char"/>
    <w:basedOn w:val="DefaultParagraphFont"/>
    <w:link w:val="ListParagraph"/>
    <w:uiPriority w:val="34"/>
    <w:rsid w:val="00921386"/>
    <w:rPr>
      <w:rFonts w:ascii="Courier New" w:eastAsia="Times New Roman" w:hAnsi="Courier New" w:cs="Times New Roman"/>
      <w:snapToGrid w:val="0"/>
      <w:sz w:val="20"/>
      <w:szCs w:val="20"/>
    </w:rPr>
  </w:style>
  <w:style w:type="character" w:styleId="UnresolvedMention">
    <w:name w:val="Unresolved Mention"/>
    <w:basedOn w:val="DefaultParagraphFont"/>
    <w:uiPriority w:val="99"/>
    <w:semiHidden/>
    <w:unhideWhenUsed/>
    <w:rsid w:val="0042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1344094591">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72B6-CEAA-4A7E-84B4-BC90D60E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3</cp:revision>
  <dcterms:created xsi:type="dcterms:W3CDTF">2021-05-06T08:06:00Z</dcterms:created>
  <dcterms:modified xsi:type="dcterms:W3CDTF">2021-05-06T15:01:00Z</dcterms:modified>
</cp:coreProperties>
</file>