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A5EC6" w14:textId="0D06B7D6" w:rsidR="00A87024" w:rsidRPr="00BE3359" w:rsidRDefault="00F0560C" w:rsidP="00A87024">
      <w:pPr>
        <w:pStyle w:val="Heading2"/>
        <w:rPr>
          <w:rFonts w:ascii="Arial" w:hAnsi="Arial" w:cs="Arial"/>
          <w:sz w:val="28"/>
          <w:szCs w:val="28"/>
        </w:rPr>
      </w:pPr>
      <w:bookmarkStart w:id="0" w:name="_Toc310597890"/>
      <w:r>
        <w:rPr>
          <w:rFonts w:ascii="Arial" w:hAnsi="Arial" w:cs="Arial"/>
          <w:sz w:val="28"/>
          <w:szCs w:val="28"/>
        </w:rPr>
        <w:t xml:space="preserve">Flood Hazard </w:t>
      </w:r>
      <w:r w:rsidR="00AD2280">
        <w:rPr>
          <w:rFonts w:ascii="Arial" w:hAnsi="Arial" w:cs="Arial"/>
          <w:sz w:val="28"/>
          <w:szCs w:val="28"/>
        </w:rPr>
        <w:t xml:space="preserve">Studies and Maps </w:t>
      </w:r>
      <w:r>
        <w:rPr>
          <w:rFonts w:ascii="Arial" w:hAnsi="Arial" w:cs="Arial"/>
          <w:sz w:val="28"/>
          <w:szCs w:val="28"/>
        </w:rPr>
        <w:t xml:space="preserve">in Addition to the </w:t>
      </w:r>
      <w:r w:rsidR="00AD2280">
        <w:rPr>
          <w:rFonts w:ascii="Arial" w:hAnsi="Arial" w:cs="Arial"/>
          <w:sz w:val="28"/>
          <w:szCs w:val="28"/>
        </w:rPr>
        <w:t>FIS/</w:t>
      </w:r>
      <w:r>
        <w:rPr>
          <w:rFonts w:ascii="Arial" w:hAnsi="Arial" w:cs="Arial"/>
          <w:sz w:val="28"/>
          <w:szCs w:val="28"/>
        </w:rPr>
        <w:t>FIRM</w:t>
      </w:r>
      <w:r w:rsidR="004F5009">
        <w:rPr>
          <w:rFonts w:ascii="Arial" w:hAnsi="Arial" w:cs="Arial"/>
          <w:sz w:val="28"/>
          <w:szCs w:val="28"/>
        </w:rPr>
        <w:t xml:space="preserve"> </w:t>
      </w:r>
      <w:r w:rsidR="003510BB" w:rsidRPr="00AD2280">
        <w:rPr>
          <w:rFonts w:ascii="Arial" w:hAnsi="Arial" w:cs="Arial"/>
          <w:sz w:val="28"/>
          <w:szCs w:val="28"/>
        </w:rPr>
        <w:t xml:space="preserve">– </w:t>
      </w:r>
      <w:bookmarkEnd w:id="0"/>
      <w:r w:rsidR="0036399E" w:rsidRPr="00AD2280">
        <w:rPr>
          <w:rFonts w:ascii="Arial" w:hAnsi="Arial" w:cs="Arial"/>
          <w:b w:val="0"/>
          <w:sz w:val="28"/>
          <w:szCs w:val="28"/>
        </w:rPr>
        <w:t>local floodplain management ordinance amend</w:t>
      </w:r>
      <w:r w:rsidR="0036399E">
        <w:rPr>
          <w:rFonts w:ascii="Arial" w:hAnsi="Arial" w:cs="Arial"/>
          <w:b w:val="0"/>
          <w:sz w:val="28"/>
          <w:szCs w:val="28"/>
        </w:rPr>
        <w:t xml:space="preserve">ments or </w:t>
      </w:r>
      <w:r w:rsidR="007C638C">
        <w:rPr>
          <w:rFonts w:ascii="Arial" w:hAnsi="Arial" w:cs="Arial"/>
          <w:b w:val="0"/>
          <w:sz w:val="28"/>
          <w:szCs w:val="28"/>
        </w:rPr>
        <w:t>local technical code amendments CCR Title (Part 2 building, Appendix G)</w:t>
      </w:r>
    </w:p>
    <w:p w14:paraId="63D299C9" w14:textId="77777777" w:rsidR="00A87024" w:rsidRDefault="00A87024" w:rsidP="00A87024">
      <w:pPr>
        <w:rPr>
          <w:rFonts w:asciiTheme="minorHAnsi" w:hAnsiTheme="minorHAnsi" w:cstheme="minorHAnsi"/>
          <w:b/>
          <w:sz w:val="26"/>
          <w:szCs w:val="26"/>
        </w:rPr>
      </w:pPr>
    </w:p>
    <w:p w14:paraId="64517917" w14:textId="77777777" w:rsidR="002C7591" w:rsidRDefault="00A87024" w:rsidP="00535F6F">
      <w:pPr>
        <w:spacing w:after="120"/>
        <w:rPr>
          <w:rFonts w:asciiTheme="minorHAnsi" w:hAnsiTheme="minorHAnsi" w:cstheme="minorHAnsi"/>
          <w:b/>
          <w:sz w:val="26"/>
          <w:szCs w:val="26"/>
          <w:u w:val="single"/>
        </w:rPr>
      </w:pPr>
      <w:r>
        <w:rPr>
          <w:noProof/>
        </w:rPr>
        <mc:AlternateContent>
          <mc:Choice Requires="wps">
            <w:drawing>
              <wp:inline distT="0" distB="0" distL="0" distR="0" wp14:anchorId="5E0595CA" wp14:editId="0E62E877">
                <wp:extent cx="5943600" cy="786765"/>
                <wp:effectExtent l="19050" t="19050" r="38100" b="2984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8355"/>
                        </a:xfrm>
                        <a:prstGeom prst="rect">
                          <a:avLst/>
                        </a:prstGeom>
                        <a:solidFill>
                          <a:srgbClr val="FFFFFF"/>
                        </a:solidFill>
                        <a:ln w="57150" cmpd="thinThick">
                          <a:solidFill>
                            <a:srgbClr val="000000"/>
                          </a:solidFill>
                          <a:miter lim="800000"/>
                          <a:headEnd/>
                          <a:tailEnd/>
                        </a:ln>
                      </wps:spPr>
                      <wps:txbx>
                        <w:txbxContent>
                          <w:p w14:paraId="056E4575" w14:textId="796F01F7" w:rsidR="00A87024" w:rsidRDefault="0004642A" w:rsidP="00A87024">
                            <w:pPr>
                              <w:spacing w:before="80" w:after="80"/>
                              <w:rPr>
                                <w:rFonts w:asciiTheme="minorHAnsi" w:hAnsiTheme="minorHAnsi" w:cstheme="minorHAnsi"/>
                                <w:sz w:val="24"/>
                                <w:szCs w:val="24"/>
                              </w:rPr>
                            </w:pPr>
                            <w:r>
                              <w:rPr>
                                <w:rFonts w:asciiTheme="minorHAnsi" w:hAnsiTheme="minorHAnsi" w:cstheme="minorHAnsi"/>
                                <w:sz w:val="24"/>
                                <w:szCs w:val="24"/>
                              </w:rPr>
                              <w:t>Submit draft ordinances amending the flood provisions of the building code (in &lt;</w:t>
                            </w:r>
                            <w:r w:rsidRPr="002C7591">
                              <w:rPr>
                                <w:rFonts w:asciiTheme="minorHAnsi" w:hAnsiTheme="minorHAnsi" w:cstheme="minorHAnsi"/>
                                <w:color w:val="C00000"/>
                                <w:sz w:val="24"/>
                                <w:szCs w:val="24"/>
                              </w:rPr>
                              <w:t>track changes</w:t>
                            </w:r>
                            <w:r>
                              <w:rPr>
                                <w:rFonts w:asciiTheme="minorHAnsi" w:hAnsiTheme="minorHAnsi" w:cstheme="minorHAnsi"/>
                                <w:sz w:val="24"/>
                                <w:szCs w:val="24"/>
                              </w:rPr>
                              <w:t xml:space="preserve">&gt;) for review well in advance of first reading to </w:t>
                            </w:r>
                            <w:hyperlink r:id="rId8" w:history="1">
                              <w:r>
                                <w:rPr>
                                  <w:rStyle w:val="Hyperlink"/>
                                  <w:rFonts w:asciiTheme="minorHAnsi" w:hAnsiTheme="minorHAnsi" w:cstheme="minorHAnsi"/>
                                  <w:sz w:val="24"/>
                                  <w:szCs w:val="24"/>
                                </w:rPr>
                                <w:t>DWR_NFIP@water.ca.gov</w:t>
                              </w:r>
                            </w:hyperlink>
                            <w:r w:rsidR="00061C3D">
                              <w:rPr>
                                <w:rStyle w:val="Hyperlink"/>
                                <w:rFonts w:asciiTheme="minorHAnsi" w:hAnsiTheme="minorHAnsi" w:cstheme="minorHAnsi"/>
                                <w:sz w:val="24"/>
                                <w:szCs w:val="24"/>
                                <w:u w:val="none"/>
                              </w:rPr>
                              <w:t xml:space="preserve"> or </w:t>
                            </w:r>
                            <w:hyperlink r:id="rId9" w:history="1">
                              <w:r w:rsidR="00D922B7" w:rsidRPr="00A7172D">
                                <w:rPr>
                                  <w:rStyle w:val="Hyperlink"/>
                                  <w:rFonts w:asciiTheme="minorHAnsi" w:hAnsiTheme="minorHAnsi" w:cstheme="minorHAnsi"/>
                                  <w:sz w:val="24"/>
                                  <w:szCs w:val="24"/>
                                </w:rPr>
                                <w:t>FEMA-NFIP-R9@fema.dhs.gov</w:t>
                              </w:r>
                            </w:hyperlink>
                            <w:r>
                              <w:rPr>
                                <w:rFonts w:asciiTheme="minorHAnsi" w:hAnsiTheme="minorHAnsi" w:cstheme="minorHAnsi"/>
                                <w:sz w:val="24"/>
                                <w:szCs w:val="24"/>
                              </w:rPr>
                              <w:t>.</w:t>
                            </w:r>
                            <w:r w:rsidR="00061C3D">
                              <w:rPr>
                                <w:rFonts w:asciiTheme="minorHAnsi" w:hAnsiTheme="minorHAnsi" w:cstheme="minorHAnsi"/>
                                <w:sz w:val="24"/>
                                <w:szCs w:val="24"/>
                              </w:rPr>
                              <w:t xml:space="preserve"> </w:t>
                            </w:r>
                            <w:r>
                              <w:rPr>
                                <w:rFonts w:asciiTheme="minorHAnsi" w:hAnsiTheme="minorHAnsi" w:cstheme="minorHAnsi"/>
                                <w:sz w:val="24"/>
                                <w:szCs w:val="24"/>
                              </w:rPr>
                              <w:t xml:space="preserve">Please put community name in subject line. </w:t>
                            </w:r>
                            <w:r w:rsidR="0008137D">
                              <w:rPr>
                                <w:rFonts w:asciiTheme="minorHAnsi" w:hAnsiTheme="minorHAnsi" w:cstheme="minorHAnsi"/>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type w14:anchorId="5E0595CA" id="_x0000_t202" coordsize="21600,21600" o:spt="202" path="m,l,21600r21600,l21600,xe">
                <v:stroke joinstyle="miter"/>
                <v:path gradientshapeok="t" o:connecttype="rect"/>
              </v:shapetype>
              <v:shape id="Text Box 10" o:spid="_x0000_s1026" type="#_x0000_t202" style="width:468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" strokeweight="4.5pt">
                <v:stroke linestyle="thinThick"/>
                <v:textbox style="mso-fit-shape-to-text:t">
                  <w:txbxContent>
                    <w:p w14:paraId="056E4575" w14:textId="796F01F7" w:rsidR="00A87024" w:rsidRDefault="0004642A" w:rsidP="00A87024">
                      <w:pPr>
                        <w:spacing w:before="80" w:after="80"/>
                        <w:rPr>
                          <w:rFonts w:asciiTheme="minorHAnsi" w:hAnsiTheme="minorHAnsi" w:cstheme="minorHAnsi"/>
                          <w:sz w:val="24"/>
                          <w:szCs w:val="24"/>
                        </w:rPr>
                      </w:pPr>
                      <w:r>
                        <w:rPr>
                          <w:rFonts w:asciiTheme="minorHAnsi" w:hAnsiTheme="minorHAnsi" w:cstheme="minorHAnsi"/>
                          <w:sz w:val="24"/>
                          <w:szCs w:val="24"/>
                        </w:rPr>
                        <w:t>Submit draft ordinances amending the flood provisions of the building code (in &lt;</w:t>
                      </w:r>
                      <w:r w:rsidRPr="002C7591">
                        <w:rPr>
                          <w:rFonts w:asciiTheme="minorHAnsi" w:hAnsiTheme="minorHAnsi" w:cstheme="minorHAnsi"/>
                          <w:color w:val="C00000"/>
                          <w:sz w:val="24"/>
                          <w:szCs w:val="24"/>
                        </w:rPr>
                        <w:t>track changes</w:t>
                      </w:r>
                      <w:r>
                        <w:rPr>
                          <w:rFonts w:asciiTheme="minorHAnsi" w:hAnsiTheme="minorHAnsi" w:cstheme="minorHAnsi"/>
                          <w:sz w:val="24"/>
                          <w:szCs w:val="24"/>
                        </w:rPr>
                        <w:t xml:space="preserve">&gt;) for review well in advance of first reading to </w:t>
                      </w:r>
                      <w:hyperlink r:id="rId10" w:history="1">
                        <w:r>
                          <w:rPr>
                            <w:rStyle w:val="Hyperlink"/>
                            <w:rFonts w:asciiTheme="minorHAnsi" w:hAnsiTheme="minorHAnsi" w:cstheme="minorHAnsi"/>
                            <w:sz w:val="24"/>
                            <w:szCs w:val="24"/>
                          </w:rPr>
                          <w:t>DWR_NFIP@water.ca.gov</w:t>
                        </w:r>
                      </w:hyperlink>
                      <w:r w:rsidR="00061C3D">
                        <w:rPr>
                          <w:rStyle w:val="Hyperlink"/>
                          <w:rFonts w:asciiTheme="minorHAnsi" w:hAnsiTheme="minorHAnsi" w:cstheme="minorHAnsi"/>
                          <w:sz w:val="24"/>
                          <w:szCs w:val="24"/>
                          <w:u w:val="none"/>
                        </w:rPr>
                        <w:t xml:space="preserve"> or </w:t>
                      </w:r>
                      <w:hyperlink r:id="rId11" w:history="1">
                        <w:r w:rsidR="00D922B7" w:rsidRPr="00A7172D">
                          <w:rPr>
                            <w:rStyle w:val="Hyperlink"/>
                            <w:rFonts w:asciiTheme="minorHAnsi" w:hAnsiTheme="minorHAnsi" w:cstheme="minorHAnsi"/>
                            <w:sz w:val="24"/>
                            <w:szCs w:val="24"/>
                          </w:rPr>
                          <w:t>FEMA-NFIP-R9@fema.dhs.gov</w:t>
                        </w:r>
                      </w:hyperlink>
                      <w:r>
                        <w:rPr>
                          <w:rFonts w:asciiTheme="minorHAnsi" w:hAnsiTheme="minorHAnsi" w:cstheme="minorHAnsi"/>
                          <w:sz w:val="24"/>
                          <w:szCs w:val="24"/>
                        </w:rPr>
                        <w:t>.</w:t>
                      </w:r>
                      <w:r w:rsidR="00061C3D">
                        <w:rPr>
                          <w:rFonts w:asciiTheme="minorHAnsi" w:hAnsiTheme="minorHAnsi" w:cstheme="minorHAnsi"/>
                          <w:sz w:val="24"/>
                          <w:szCs w:val="24"/>
                        </w:rPr>
                        <w:t xml:space="preserve"> </w:t>
                      </w:r>
                      <w:r>
                        <w:rPr>
                          <w:rFonts w:asciiTheme="minorHAnsi" w:hAnsiTheme="minorHAnsi" w:cstheme="minorHAnsi"/>
                          <w:sz w:val="24"/>
                          <w:szCs w:val="24"/>
                        </w:rPr>
                        <w:t xml:space="preserve">Please put community name in subject line. </w:t>
                      </w:r>
                      <w:r w:rsidR="0008137D">
                        <w:rPr>
                          <w:rFonts w:asciiTheme="minorHAnsi" w:hAnsiTheme="minorHAnsi" w:cstheme="minorHAnsi"/>
                          <w:sz w:val="24"/>
                          <w:szCs w:val="24"/>
                        </w:rPr>
                        <w:t xml:space="preserve"> </w:t>
                      </w:r>
                    </w:p>
                  </w:txbxContent>
                </v:textbox>
                <w10:anchorlock/>
              </v:shape>
            </w:pict>
          </mc:Fallback>
        </mc:AlternateContent>
      </w:r>
    </w:p>
    <w:p w14:paraId="32283876" w14:textId="037CC300" w:rsidR="004F5009" w:rsidRPr="00A87024" w:rsidRDefault="00A87024" w:rsidP="00535F6F">
      <w:pPr>
        <w:spacing w:after="120"/>
        <w:rPr>
          <w:rFonts w:asciiTheme="minorHAnsi" w:hAnsiTheme="minorHAnsi" w:cstheme="minorHAnsi"/>
          <w:snapToGrid/>
          <w:sz w:val="26"/>
          <w:szCs w:val="26"/>
        </w:rPr>
      </w:pPr>
      <w:r>
        <w:rPr>
          <w:rFonts w:asciiTheme="minorHAnsi" w:hAnsiTheme="minorHAnsi" w:cstheme="minorHAnsi"/>
          <w:b/>
          <w:sz w:val="26"/>
          <w:szCs w:val="26"/>
          <w:u w:val="single"/>
        </w:rPr>
        <w:t>Before you start</w:t>
      </w:r>
      <w:r>
        <w:rPr>
          <w:rFonts w:asciiTheme="minorHAnsi" w:hAnsiTheme="minorHAnsi" w:cstheme="minorHAnsi"/>
          <w:b/>
          <w:sz w:val="26"/>
          <w:szCs w:val="26"/>
        </w:rPr>
        <w:t xml:space="preserve">:  </w:t>
      </w:r>
      <w:r>
        <w:rPr>
          <w:rFonts w:asciiTheme="minorHAnsi" w:hAnsiTheme="minorHAnsi" w:cstheme="minorHAnsi"/>
          <w:sz w:val="26"/>
          <w:szCs w:val="26"/>
        </w:rPr>
        <w:t>Review the General Instructions for Amending the California Building Standards Code (C</w:t>
      </w:r>
      <w:r w:rsidR="007C638C">
        <w:rPr>
          <w:rFonts w:asciiTheme="minorHAnsi" w:hAnsiTheme="minorHAnsi" w:cstheme="minorHAnsi"/>
          <w:sz w:val="26"/>
          <w:szCs w:val="26"/>
        </w:rPr>
        <w:t>C</w:t>
      </w:r>
      <w:r>
        <w:rPr>
          <w:rFonts w:asciiTheme="minorHAnsi" w:hAnsiTheme="minorHAnsi" w:cstheme="minorHAnsi"/>
          <w:sz w:val="26"/>
          <w:szCs w:val="26"/>
        </w:rPr>
        <w:t>R Title 24) to Adopt Higher Standards for Buildings and Development Located in Flood Hazard Areas.</w:t>
      </w:r>
    </w:p>
    <w:p w14:paraId="501A44B1" w14:textId="77777777" w:rsidR="002C7591" w:rsidRDefault="004D5DDC" w:rsidP="002C7591">
      <w:pPr>
        <w:spacing w:after="120"/>
        <w:jc w:val="center"/>
        <w:rPr>
          <w:rFonts w:asciiTheme="minorHAnsi" w:hAnsiTheme="minorHAnsi" w:cstheme="minorHAnsi"/>
          <w:b/>
          <w:sz w:val="26"/>
          <w:szCs w:val="26"/>
          <w:u w:val="single"/>
        </w:rPr>
      </w:pPr>
      <w:r w:rsidRPr="00CF68D3">
        <w:rPr>
          <w:rFonts w:ascii="Arial" w:hAnsi="Arial" w:cs="Arial"/>
          <w:noProof/>
          <w:sz w:val="22"/>
          <w:szCs w:val="22"/>
        </w:rPr>
        <mc:AlternateContent>
          <mc:Choice Requires="wps">
            <w:drawing>
              <wp:inline distT="0" distB="0" distL="0" distR="0" wp14:anchorId="61085D32" wp14:editId="0DB41407">
                <wp:extent cx="4572000" cy="1404620"/>
                <wp:effectExtent l="0" t="0" r="19050"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solidFill>
                            <a:srgbClr val="000000"/>
                          </a:solidFill>
                          <a:miter lim="800000"/>
                          <a:headEnd/>
                          <a:tailEnd/>
                        </a:ln>
                      </wps:spPr>
                      <wps:txbx>
                        <w:txbxContent>
                          <w:p w14:paraId="555CAA2A" w14:textId="77777777" w:rsidR="004D5DDC" w:rsidRDefault="004D5DDC" w:rsidP="004D5DDC">
                            <w:pPr>
                              <w:rPr>
                                <w:rFonts w:asciiTheme="minorHAnsi" w:hAnsiTheme="minorHAnsi" w:cstheme="minorHAnsi"/>
                                <w:sz w:val="22"/>
                                <w:szCs w:val="22"/>
                              </w:rPr>
                            </w:pPr>
                            <w:r>
                              <w:rPr>
                                <w:rFonts w:asciiTheme="minorHAnsi" w:hAnsiTheme="minorHAnsi" w:cstheme="minorHAnsi"/>
                                <w:b/>
                                <w:sz w:val="22"/>
                                <w:szCs w:val="22"/>
                              </w:rPr>
                              <w:t xml:space="preserve">NFIP Community Rating System Credits. </w:t>
                            </w:r>
                            <w:r>
                              <w:rPr>
                                <w:rFonts w:asciiTheme="minorHAnsi" w:hAnsiTheme="minorHAnsi" w:cstheme="minorHAnsi"/>
                                <w:sz w:val="22"/>
                                <w:szCs w:val="22"/>
                              </w:rPr>
                              <w:t xml:space="preserve">Adoption and enforcement of this higher standard may qualify for CRS points (credits). Communities should review the </w:t>
                            </w:r>
                            <w:hyperlink r:id="rId12" w:history="1">
                              <w:r w:rsidRPr="00F663CB">
                                <w:rPr>
                                  <w:rStyle w:val="Hyperlink"/>
                                  <w:rFonts w:asciiTheme="minorHAnsi" w:hAnsiTheme="minorHAnsi" w:cstheme="minorHAnsi"/>
                                  <w:i/>
                                  <w:sz w:val="22"/>
                                  <w:szCs w:val="22"/>
                                </w:rPr>
                                <w:t>CRS Coordinators Manual</w:t>
                              </w:r>
                            </w:hyperlink>
                            <w:r w:rsidRPr="0061288D">
                              <w:rPr>
                                <w:rFonts w:asciiTheme="minorHAnsi" w:hAnsiTheme="minorHAnsi" w:cstheme="minorHAnsi"/>
                                <w:i/>
                                <w:sz w:val="22"/>
                                <w:szCs w:val="22"/>
                              </w:rPr>
                              <w:t xml:space="preserve"> </w:t>
                            </w:r>
                            <w:r>
                              <w:rPr>
                                <w:rFonts w:asciiTheme="minorHAnsi" w:hAnsiTheme="minorHAnsi" w:cstheme="minorHAnsi"/>
                                <w:sz w:val="22"/>
                                <w:szCs w:val="22"/>
                              </w:rPr>
                              <w:t xml:space="preserve">and consult with their CRS Resource Specialists. FEMA/ISO determines which provisions qualify for points.  </w:t>
                            </w:r>
                          </w:p>
                        </w:txbxContent>
                      </wps:txbx>
                      <wps:bodyPr rot="0" vert="horz" wrap="square" lIns="91440" tIns="45720" rIns="91440" bIns="45720" anchor="t" anchorCtr="0">
                        <a:spAutoFit/>
                      </wps:bodyPr>
                    </wps:wsp>
                  </a:graphicData>
                </a:graphic>
              </wp:inline>
            </w:drawing>
          </mc:Choice>
          <mc:Fallback>
            <w:pict>
              <v:shape w14:anchorId="61085D32" id="Text Box 2" o:spid="_x0000_s1027"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">
                <v:textbox style="mso-fit-shape-to-text:t">
                  <w:txbxContent>
                    <w:p w14:paraId="555CAA2A" w14:textId="77777777" w:rsidR="004D5DDC" w:rsidRDefault="004D5DDC" w:rsidP="004D5DDC">
                      <w:pPr>
                        <w:rPr>
                          <w:rFonts w:asciiTheme="minorHAnsi" w:hAnsiTheme="minorHAnsi" w:cstheme="minorHAnsi"/>
                          <w:sz w:val="22"/>
                          <w:szCs w:val="22"/>
                        </w:rPr>
                      </w:pPr>
                      <w:r>
                        <w:rPr>
                          <w:rFonts w:asciiTheme="minorHAnsi" w:hAnsiTheme="minorHAnsi" w:cstheme="minorHAnsi"/>
                          <w:b/>
                          <w:sz w:val="22"/>
                          <w:szCs w:val="22"/>
                        </w:rPr>
                        <w:t xml:space="preserve">NFIP Community Rating System Credits. </w:t>
                      </w:r>
                      <w:r>
                        <w:rPr>
                          <w:rFonts w:asciiTheme="minorHAnsi" w:hAnsiTheme="minorHAnsi" w:cstheme="minorHAnsi"/>
                          <w:sz w:val="22"/>
                          <w:szCs w:val="22"/>
                        </w:rPr>
                        <w:t xml:space="preserve">Adoption and enforcement of this higher standard may qualify for CRS points (credits). Communities should review the </w:t>
                      </w:r>
                      <w:hyperlink r:id="rId13" w:history="1">
                        <w:r w:rsidRPr="00F663CB">
                          <w:rPr>
                            <w:rStyle w:val="Hyperlink"/>
                            <w:rFonts w:asciiTheme="minorHAnsi" w:hAnsiTheme="minorHAnsi" w:cstheme="minorHAnsi"/>
                            <w:i/>
                            <w:sz w:val="22"/>
                            <w:szCs w:val="22"/>
                          </w:rPr>
                          <w:t>CRS Coordinators Manual</w:t>
                        </w:r>
                      </w:hyperlink>
                      <w:r w:rsidRPr="0061288D">
                        <w:rPr>
                          <w:rFonts w:asciiTheme="minorHAnsi" w:hAnsiTheme="minorHAnsi" w:cstheme="minorHAnsi"/>
                          <w:i/>
                          <w:sz w:val="22"/>
                          <w:szCs w:val="22"/>
                        </w:rPr>
                        <w:t xml:space="preserve"> </w:t>
                      </w:r>
                      <w:r>
                        <w:rPr>
                          <w:rFonts w:asciiTheme="minorHAnsi" w:hAnsiTheme="minorHAnsi" w:cstheme="minorHAnsi"/>
                          <w:sz w:val="22"/>
                          <w:szCs w:val="22"/>
                        </w:rPr>
                        <w:t xml:space="preserve">and consult with their CRS Resource Specialists. FEMA/ISO determines which provisions qualify for points.  </w:t>
                      </w:r>
                    </w:p>
                  </w:txbxContent>
                </v:textbox>
                <w10:anchorlock/>
              </v:shape>
            </w:pict>
          </mc:Fallback>
        </mc:AlternateContent>
      </w:r>
    </w:p>
    <w:p w14:paraId="56E08A53" w14:textId="77777777" w:rsidR="002C7591" w:rsidRDefault="002C7591" w:rsidP="002C7591"/>
    <w:p w14:paraId="45943FDD" w14:textId="1ACA1DA9" w:rsidR="00813A33" w:rsidRDefault="003510BB" w:rsidP="00535F6F">
      <w:pPr>
        <w:spacing w:after="120"/>
        <w:rPr>
          <w:rFonts w:asciiTheme="minorHAnsi" w:hAnsiTheme="minorHAnsi" w:cstheme="minorHAnsi"/>
          <w:sz w:val="26"/>
          <w:szCs w:val="26"/>
        </w:rPr>
      </w:pPr>
      <w:r w:rsidRPr="009F2B59">
        <w:rPr>
          <w:rFonts w:asciiTheme="minorHAnsi" w:hAnsiTheme="minorHAnsi" w:cstheme="minorHAnsi"/>
          <w:b/>
          <w:sz w:val="26"/>
          <w:szCs w:val="26"/>
          <w:u w:val="single"/>
        </w:rPr>
        <w:t>Description</w:t>
      </w:r>
      <w:r w:rsidR="00A87024">
        <w:rPr>
          <w:rStyle w:val="FootnoteReference"/>
          <w:rFonts w:asciiTheme="minorHAnsi" w:hAnsiTheme="minorHAnsi" w:cstheme="minorHAnsi"/>
          <w:b/>
          <w:sz w:val="26"/>
          <w:szCs w:val="26"/>
          <w:u w:val="single"/>
        </w:rPr>
        <w:footnoteReference w:id="1"/>
      </w:r>
      <w:r w:rsidRPr="009F2B59">
        <w:rPr>
          <w:rFonts w:asciiTheme="minorHAnsi" w:hAnsiTheme="minorHAnsi" w:cstheme="minorHAnsi"/>
          <w:b/>
          <w:sz w:val="26"/>
          <w:szCs w:val="26"/>
        </w:rPr>
        <w:t>:</w:t>
      </w:r>
      <w:r w:rsidRPr="009F2B59">
        <w:rPr>
          <w:rFonts w:asciiTheme="minorHAnsi" w:hAnsiTheme="minorHAnsi" w:cstheme="minorHAnsi"/>
          <w:sz w:val="26"/>
          <w:szCs w:val="26"/>
        </w:rPr>
        <w:t xml:space="preserve">  </w:t>
      </w:r>
      <w:r w:rsidR="00F0560C" w:rsidRPr="00F0560C">
        <w:rPr>
          <w:rFonts w:asciiTheme="minorHAnsi" w:hAnsiTheme="minorHAnsi" w:cstheme="minorHAnsi"/>
          <w:sz w:val="26"/>
          <w:szCs w:val="26"/>
        </w:rPr>
        <w:t xml:space="preserve">Most communities that participate in the NFIP adopt FISs and FIRMs produced by FEMA as the basis for enforcing floodplain management regulations and the flood provisions of building codes. </w:t>
      </w:r>
      <w:r w:rsidR="007C638C">
        <w:rPr>
          <w:rFonts w:asciiTheme="minorHAnsi" w:hAnsiTheme="minorHAnsi" w:cstheme="minorHAnsi"/>
          <w:sz w:val="26"/>
          <w:szCs w:val="26"/>
        </w:rPr>
        <w:t>Part 2 (building)</w:t>
      </w:r>
      <w:r w:rsidR="00813A33" w:rsidRPr="009F2B59">
        <w:rPr>
          <w:rFonts w:asciiTheme="minorHAnsi" w:hAnsiTheme="minorHAnsi" w:cstheme="minorHAnsi"/>
          <w:sz w:val="26"/>
          <w:szCs w:val="26"/>
        </w:rPr>
        <w:t xml:space="preserve"> </w:t>
      </w:r>
      <w:r w:rsidR="00813A33" w:rsidRPr="00F0560C">
        <w:rPr>
          <w:rFonts w:asciiTheme="minorHAnsi" w:hAnsiTheme="minorHAnsi" w:cstheme="minorHAnsi"/>
          <w:sz w:val="26"/>
          <w:szCs w:val="26"/>
        </w:rPr>
        <w:t xml:space="preserve">and ASCE 24 define and use the terms “design flood,” “design flood elevation” and “flood hazard area” to refer to SFHAs shown on FIRMs as well as flood hazard areas delineated on other flood hazard area maps that communities may elect to adopt (see </w:t>
      </w:r>
      <w:r w:rsidR="00BC4197">
        <w:rPr>
          <w:rFonts w:asciiTheme="minorHAnsi" w:hAnsiTheme="minorHAnsi" w:cstheme="minorHAnsi"/>
          <w:sz w:val="26"/>
          <w:szCs w:val="26"/>
        </w:rPr>
        <w:t xml:space="preserve">ASCE </w:t>
      </w:r>
      <w:r w:rsidR="00813A33" w:rsidRPr="00F0560C">
        <w:rPr>
          <w:rFonts w:asciiTheme="minorHAnsi" w:hAnsiTheme="minorHAnsi" w:cstheme="minorHAnsi"/>
          <w:sz w:val="26"/>
          <w:szCs w:val="26"/>
        </w:rPr>
        <w:t>Sections 3.2.1 and 3.1.3).</w:t>
      </w:r>
    </w:p>
    <w:p w14:paraId="3D51373B" w14:textId="6362DAAC" w:rsidR="00F0560C" w:rsidRDefault="00F0560C" w:rsidP="00535F6F">
      <w:pPr>
        <w:spacing w:after="120"/>
        <w:rPr>
          <w:rFonts w:asciiTheme="minorHAnsi" w:hAnsiTheme="minorHAnsi" w:cstheme="minorHAnsi"/>
          <w:sz w:val="26"/>
          <w:szCs w:val="26"/>
        </w:rPr>
      </w:pPr>
      <w:r w:rsidRPr="00F0560C">
        <w:rPr>
          <w:rFonts w:asciiTheme="minorHAnsi" w:hAnsiTheme="minorHAnsi" w:cstheme="minorHAnsi"/>
          <w:sz w:val="26"/>
          <w:szCs w:val="26"/>
        </w:rPr>
        <w:t xml:space="preserve">The NFIP recognizes that some communities may adopt other flood maps or studies that cover all or just some areas within their jurisdiction. Use of other maps and supporting studies is allowed, provided the maps show either flood-prone areas that are larger than the SFHA or flood-prone areas that are not identified on FIRMs. </w:t>
      </w:r>
    </w:p>
    <w:p w14:paraId="5DD595CA" w14:textId="77777777" w:rsidR="00F0560C" w:rsidRPr="00F0560C" w:rsidRDefault="00F0560C" w:rsidP="00535F6F">
      <w:pPr>
        <w:spacing w:after="120"/>
        <w:rPr>
          <w:rFonts w:asciiTheme="minorHAnsi" w:hAnsiTheme="minorHAnsi" w:cstheme="minorHAnsi"/>
          <w:sz w:val="26"/>
          <w:szCs w:val="26"/>
        </w:rPr>
      </w:pPr>
      <w:r w:rsidRPr="00F0560C">
        <w:rPr>
          <w:rFonts w:asciiTheme="minorHAnsi" w:hAnsiTheme="minorHAnsi" w:cstheme="minorHAnsi"/>
          <w:sz w:val="26"/>
          <w:szCs w:val="26"/>
        </w:rPr>
        <w:t>Communities may adopt different or additional flood hazard maps for several reasons:</w:t>
      </w:r>
    </w:p>
    <w:p w14:paraId="65E05786" w14:textId="4FAA91EA" w:rsidR="00F0560C" w:rsidRPr="00A87024" w:rsidRDefault="00F0560C" w:rsidP="00A87024">
      <w:pPr>
        <w:pStyle w:val="ListParagraph"/>
        <w:numPr>
          <w:ilvl w:val="0"/>
          <w:numId w:val="21"/>
        </w:numPr>
        <w:rPr>
          <w:rFonts w:asciiTheme="minorHAnsi" w:hAnsiTheme="minorHAnsi" w:cstheme="minorHAnsi"/>
          <w:sz w:val="26"/>
          <w:szCs w:val="26"/>
        </w:rPr>
      </w:pPr>
      <w:r w:rsidRPr="00A87024">
        <w:rPr>
          <w:rFonts w:asciiTheme="minorHAnsi" w:hAnsiTheme="minorHAnsi" w:cstheme="minorHAnsi"/>
          <w:sz w:val="26"/>
          <w:szCs w:val="26"/>
        </w:rPr>
        <w:t>To delineate areas that have experienced flooding but are not shown as SFHAs on FIRMs</w:t>
      </w:r>
    </w:p>
    <w:p w14:paraId="6A8A9428" w14:textId="15F75752" w:rsidR="00F0560C" w:rsidRPr="00A87024" w:rsidRDefault="00F0560C" w:rsidP="00A87024">
      <w:pPr>
        <w:pStyle w:val="ListParagraph"/>
        <w:numPr>
          <w:ilvl w:val="0"/>
          <w:numId w:val="21"/>
        </w:numPr>
        <w:rPr>
          <w:rFonts w:asciiTheme="minorHAnsi" w:hAnsiTheme="minorHAnsi" w:cstheme="minorHAnsi"/>
          <w:sz w:val="26"/>
          <w:szCs w:val="26"/>
        </w:rPr>
      </w:pPr>
      <w:r w:rsidRPr="00A87024">
        <w:rPr>
          <w:rFonts w:asciiTheme="minorHAnsi" w:hAnsiTheme="minorHAnsi" w:cstheme="minorHAnsi"/>
          <w:sz w:val="26"/>
          <w:szCs w:val="26"/>
        </w:rPr>
        <w:t>To delineate historic floods of record that affected areas outside the limits of the FEMA-defined SFHA</w:t>
      </w:r>
    </w:p>
    <w:p w14:paraId="6162B29F" w14:textId="25B0C779" w:rsidR="00F0560C" w:rsidRPr="00A87024" w:rsidRDefault="00F0560C" w:rsidP="00A87024">
      <w:pPr>
        <w:pStyle w:val="ListParagraph"/>
        <w:numPr>
          <w:ilvl w:val="0"/>
          <w:numId w:val="21"/>
        </w:numPr>
        <w:rPr>
          <w:rFonts w:asciiTheme="minorHAnsi" w:hAnsiTheme="minorHAnsi" w:cstheme="minorHAnsi"/>
          <w:sz w:val="26"/>
          <w:szCs w:val="26"/>
        </w:rPr>
      </w:pPr>
      <w:r w:rsidRPr="00A87024">
        <w:rPr>
          <w:rFonts w:asciiTheme="minorHAnsi" w:hAnsiTheme="minorHAnsi" w:cstheme="minorHAnsi"/>
          <w:sz w:val="26"/>
          <w:szCs w:val="26"/>
        </w:rPr>
        <w:t xml:space="preserve">To delineate areas anticipated to be subject to future flooding because of changing conditions, such as climate change or upper watershed development estimated based on zoning </w:t>
      </w:r>
    </w:p>
    <w:p w14:paraId="5EBEEEA2" w14:textId="77777777" w:rsidR="00F0560C" w:rsidRPr="00F0560C" w:rsidRDefault="00F0560C" w:rsidP="00F0560C">
      <w:pPr>
        <w:rPr>
          <w:rFonts w:asciiTheme="minorHAnsi" w:hAnsiTheme="minorHAnsi" w:cstheme="minorHAnsi"/>
          <w:sz w:val="26"/>
          <w:szCs w:val="26"/>
        </w:rPr>
      </w:pPr>
    </w:p>
    <w:p w14:paraId="4BE98997" w14:textId="0C2AE9FB" w:rsidR="00F0560C" w:rsidRPr="00F0560C" w:rsidRDefault="009C5AE3" w:rsidP="00F0560C">
      <w:pPr>
        <w:rPr>
          <w:rFonts w:asciiTheme="minorHAnsi" w:hAnsiTheme="minorHAnsi" w:cstheme="minorHAnsi"/>
          <w:sz w:val="26"/>
          <w:szCs w:val="26"/>
        </w:rPr>
      </w:pPr>
      <w:r w:rsidRPr="009F2B59">
        <w:rPr>
          <w:rFonts w:asciiTheme="minorHAnsi" w:hAnsiTheme="minorHAnsi" w:cstheme="minorHAnsi"/>
          <w:b/>
          <w:sz w:val="26"/>
          <w:szCs w:val="26"/>
          <w:u w:val="single"/>
        </w:rPr>
        <w:lastRenderedPageBreak/>
        <w:t xml:space="preserve">How </w:t>
      </w:r>
      <w:r w:rsidR="00714B80">
        <w:rPr>
          <w:rFonts w:asciiTheme="minorHAnsi" w:hAnsiTheme="minorHAnsi" w:cstheme="minorHAnsi"/>
          <w:b/>
          <w:sz w:val="26"/>
          <w:szCs w:val="26"/>
          <w:u w:val="single"/>
        </w:rPr>
        <w:t>Part 2 (buildings) and Part 2.5 (residential)</w:t>
      </w:r>
      <w:r w:rsidR="008C2F06">
        <w:rPr>
          <w:rFonts w:asciiTheme="minorHAnsi" w:hAnsiTheme="minorHAnsi" w:cstheme="minorHAnsi"/>
          <w:b/>
          <w:sz w:val="26"/>
          <w:szCs w:val="26"/>
          <w:u w:val="single"/>
        </w:rPr>
        <w:t xml:space="preserve"> </w:t>
      </w:r>
      <w:r w:rsidRPr="009F2B59">
        <w:rPr>
          <w:rFonts w:asciiTheme="minorHAnsi" w:hAnsiTheme="minorHAnsi" w:cstheme="minorHAnsi"/>
          <w:b/>
          <w:sz w:val="26"/>
          <w:szCs w:val="26"/>
          <w:u w:val="single"/>
        </w:rPr>
        <w:t>specif</w:t>
      </w:r>
      <w:r w:rsidR="008C2F06">
        <w:rPr>
          <w:rFonts w:asciiTheme="minorHAnsi" w:hAnsiTheme="minorHAnsi" w:cstheme="minorHAnsi"/>
          <w:b/>
          <w:sz w:val="26"/>
          <w:szCs w:val="26"/>
          <w:u w:val="single"/>
        </w:rPr>
        <w:t>y</w:t>
      </w:r>
      <w:r w:rsidRPr="009F2B59">
        <w:rPr>
          <w:rFonts w:asciiTheme="minorHAnsi" w:hAnsiTheme="minorHAnsi" w:cstheme="minorHAnsi"/>
          <w:b/>
          <w:sz w:val="26"/>
          <w:szCs w:val="26"/>
          <w:u w:val="single"/>
        </w:rPr>
        <w:t xml:space="preserve"> </w:t>
      </w:r>
      <w:r w:rsidR="00F0560C">
        <w:rPr>
          <w:rFonts w:asciiTheme="minorHAnsi" w:hAnsiTheme="minorHAnsi" w:cstheme="minorHAnsi"/>
          <w:b/>
          <w:sz w:val="26"/>
          <w:szCs w:val="26"/>
          <w:u w:val="single"/>
        </w:rPr>
        <w:t xml:space="preserve">flood hazard </w:t>
      </w:r>
      <w:r w:rsidR="008C2F06">
        <w:rPr>
          <w:rFonts w:asciiTheme="minorHAnsi" w:hAnsiTheme="minorHAnsi" w:cstheme="minorHAnsi"/>
          <w:b/>
          <w:sz w:val="26"/>
          <w:szCs w:val="26"/>
          <w:u w:val="single"/>
        </w:rPr>
        <w:t xml:space="preserve">studies and </w:t>
      </w:r>
      <w:r w:rsidR="00F0560C">
        <w:rPr>
          <w:rFonts w:asciiTheme="minorHAnsi" w:hAnsiTheme="minorHAnsi" w:cstheme="minorHAnsi"/>
          <w:b/>
          <w:sz w:val="26"/>
          <w:szCs w:val="26"/>
          <w:u w:val="single"/>
        </w:rPr>
        <w:t>maps</w:t>
      </w:r>
      <w:r w:rsidRPr="009F2B59">
        <w:rPr>
          <w:rFonts w:asciiTheme="minorHAnsi" w:hAnsiTheme="minorHAnsi" w:cstheme="minorHAnsi"/>
          <w:b/>
          <w:sz w:val="26"/>
          <w:szCs w:val="26"/>
        </w:rPr>
        <w:t>:</w:t>
      </w:r>
      <w:r w:rsidRPr="009F2B59">
        <w:rPr>
          <w:rFonts w:asciiTheme="minorHAnsi" w:hAnsiTheme="minorHAnsi" w:cstheme="minorHAnsi"/>
          <w:sz w:val="26"/>
          <w:szCs w:val="26"/>
        </w:rPr>
        <w:t xml:space="preserve">  </w:t>
      </w:r>
      <w:r w:rsidR="00714B80">
        <w:rPr>
          <w:rFonts w:asciiTheme="minorHAnsi" w:hAnsiTheme="minorHAnsi" w:cstheme="minorHAnsi"/>
          <w:sz w:val="26"/>
          <w:szCs w:val="26"/>
        </w:rPr>
        <w:t xml:space="preserve">Part 2 </w:t>
      </w:r>
      <w:r w:rsidR="00813A33">
        <w:rPr>
          <w:rFonts w:asciiTheme="minorHAnsi" w:hAnsiTheme="minorHAnsi" w:cstheme="minorHAnsi"/>
          <w:sz w:val="26"/>
          <w:szCs w:val="26"/>
        </w:rPr>
        <w:t xml:space="preserve">Section 1612.3 establishes (adopts) flood hazard areas, which must be SFHAs, at a minimum. </w:t>
      </w:r>
      <w:r w:rsidR="00714B80">
        <w:rPr>
          <w:rFonts w:asciiTheme="minorHAnsi" w:hAnsiTheme="minorHAnsi" w:cstheme="minorHAnsi"/>
          <w:sz w:val="26"/>
          <w:szCs w:val="26"/>
        </w:rPr>
        <w:t>Part 2.5</w:t>
      </w:r>
      <w:r w:rsidR="008C2F06">
        <w:rPr>
          <w:rFonts w:asciiTheme="minorHAnsi" w:hAnsiTheme="minorHAnsi" w:cstheme="minorHAnsi"/>
          <w:sz w:val="26"/>
          <w:szCs w:val="26"/>
        </w:rPr>
        <w:t xml:space="preserve"> uses Table R301.2(1) Climatic and Geographic Design Criteria, to specify use of the current effective FIS and FIRM. </w:t>
      </w:r>
      <w:r w:rsidR="00813A33">
        <w:rPr>
          <w:rFonts w:asciiTheme="minorHAnsi" w:hAnsiTheme="minorHAnsi" w:cstheme="minorHAnsi"/>
          <w:sz w:val="26"/>
          <w:szCs w:val="26"/>
        </w:rPr>
        <w:t>Most communities do not explicitly fill in the blanks. Instead, they adopt the FIS and FIRMs in local floodplain management regulations.</w:t>
      </w:r>
      <w:r w:rsidR="008C2F06">
        <w:rPr>
          <w:rFonts w:asciiTheme="minorHAnsi" w:hAnsiTheme="minorHAnsi" w:cstheme="minorHAnsi"/>
          <w:sz w:val="26"/>
          <w:szCs w:val="26"/>
        </w:rPr>
        <w:t xml:space="preserve"> If that’s the case, then adopting studies and maps other than or in addition to the FIS and FIRMs can be accomplished in local regulations or in </w:t>
      </w:r>
      <w:r w:rsidR="00714B80">
        <w:rPr>
          <w:rFonts w:asciiTheme="minorHAnsi" w:hAnsiTheme="minorHAnsi" w:cstheme="minorHAnsi"/>
          <w:sz w:val="26"/>
          <w:szCs w:val="26"/>
        </w:rPr>
        <w:t>Part 2</w:t>
      </w:r>
      <w:r w:rsidR="008C2F06">
        <w:rPr>
          <w:rFonts w:asciiTheme="minorHAnsi" w:hAnsiTheme="minorHAnsi" w:cstheme="minorHAnsi"/>
          <w:sz w:val="26"/>
          <w:szCs w:val="26"/>
        </w:rPr>
        <w:t xml:space="preserve"> Appendix G, if adopted.</w:t>
      </w:r>
      <w:r w:rsidR="005A04C0">
        <w:rPr>
          <w:rFonts w:asciiTheme="minorHAnsi" w:hAnsiTheme="minorHAnsi" w:cstheme="minorHAnsi"/>
          <w:sz w:val="26"/>
          <w:szCs w:val="26"/>
        </w:rPr>
        <w:t xml:space="preserve"> </w:t>
      </w:r>
      <w:r w:rsidR="00714B80">
        <w:rPr>
          <w:rFonts w:asciiTheme="minorHAnsi" w:hAnsiTheme="minorHAnsi" w:cstheme="minorHAnsi"/>
          <w:sz w:val="26"/>
          <w:szCs w:val="26"/>
        </w:rPr>
        <w:t>Part 2</w:t>
      </w:r>
      <w:r w:rsidR="005A04C0">
        <w:rPr>
          <w:rFonts w:asciiTheme="minorHAnsi" w:hAnsiTheme="minorHAnsi" w:cstheme="minorHAnsi"/>
          <w:sz w:val="26"/>
          <w:szCs w:val="26"/>
        </w:rPr>
        <w:t xml:space="preserve"> Appendix G establishes flood hazard areas in Section G102.2.</w:t>
      </w:r>
    </w:p>
    <w:p w14:paraId="7518AE94" w14:textId="77777777" w:rsidR="00F0560C" w:rsidRDefault="00F0560C" w:rsidP="00F0560C">
      <w:pPr>
        <w:rPr>
          <w:rFonts w:asciiTheme="minorHAnsi" w:hAnsiTheme="minorHAnsi" w:cstheme="minorHAnsi"/>
          <w:sz w:val="26"/>
          <w:szCs w:val="26"/>
        </w:rPr>
      </w:pPr>
    </w:p>
    <w:p w14:paraId="54724903" w14:textId="77777777" w:rsidR="008F0BD5" w:rsidRPr="009F2B59" w:rsidRDefault="008F0BD5">
      <w:pPr>
        <w:widowControl/>
        <w:spacing w:before="120" w:after="120"/>
        <w:rPr>
          <w:rFonts w:asciiTheme="minorHAnsi" w:hAnsiTheme="minorHAnsi" w:cstheme="minorHAnsi"/>
          <w:b/>
          <w:sz w:val="26"/>
          <w:szCs w:val="26"/>
          <w:u w:val="single"/>
        </w:rPr>
      </w:pPr>
      <w:r w:rsidRPr="009F2B59">
        <w:rPr>
          <w:rFonts w:asciiTheme="minorHAnsi" w:hAnsiTheme="minorHAnsi" w:cstheme="minorHAnsi"/>
          <w:b/>
          <w:sz w:val="26"/>
          <w:szCs w:val="26"/>
          <w:u w:val="single"/>
        </w:rPr>
        <w:t>INSTRUCTIONS</w:t>
      </w:r>
    </w:p>
    <w:p w14:paraId="50C1B578" w14:textId="4F47931C" w:rsidR="008C2F06" w:rsidRPr="0036399E" w:rsidRDefault="00AD5048" w:rsidP="00FE1AC3">
      <w:pPr>
        <w:rPr>
          <w:rFonts w:asciiTheme="minorHAnsi" w:hAnsiTheme="minorHAnsi" w:cstheme="minorHAnsi"/>
          <w:sz w:val="26"/>
          <w:szCs w:val="26"/>
        </w:rPr>
      </w:pPr>
      <w:r>
        <w:rPr>
          <w:rFonts w:asciiTheme="minorHAnsi" w:hAnsiTheme="minorHAnsi" w:cstheme="minorHAnsi"/>
          <w:b/>
          <w:sz w:val="26"/>
          <w:szCs w:val="26"/>
        </w:rPr>
        <w:t>M</w:t>
      </w:r>
      <w:r w:rsidR="0036399E">
        <w:rPr>
          <w:rFonts w:asciiTheme="minorHAnsi" w:hAnsiTheme="minorHAnsi" w:cstheme="minorHAnsi"/>
          <w:b/>
          <w:sz w:val="26"/>
          <w:szCs w:val="26"/>
        </w:rPr>
        <w:t xml:space="preserve">odify the model ordinance (or Part 2 Appendix G) to </w:t>
      </w:r>
      <w:r w:rsidR="005A04C0">
        <w:rPr>
          <w:rFonts w:asciiTheme="minorHAnsi" w:hAnsiTheme="minorHAnsi" w:cstheme="minorHAnsi"/>
          <w:b/>
          <w:sz w:val="26"/>
          <w:szCs w:val="26"/>
        </w:rPr>
        <w:t>adopt flood hazard studies and maps other than, or in addition to, FIS and FIRMs.</w:t>
      </w:r>
      <w:r w:rsidR="008C2F06">
        <w:rPr>
          <w:rFonts w:asciiTheme="minorHAnsi" w:hAnsiTheme="minorHAnsi" w:cstheme="minorHAnsi"/>
          <w:sz w:val="26"/>
          <w:szCs w:val="26"/>
        </w:rPr>
        <w:t xml:space="preserve"> </w:t>
      </w:r>
      <w:r w:rsidR="00AD2280">
        <w:rPr>
          <w:rFonts w:asciiTheme="minorHAnsi" w:hAnsiTheme="minorHAnsi" w:cstheme="minorHAnsi"/>
          <w:sz w:val="26"/>
          <w:szCs w:val="26"/>
        </w:rPr>
        <w:t>Insert the names and dates of additional studies and maps.</w:t>
      </w:r>
    </w:p>
    <w:p w14:paraId="28EDDA55" w14:textId="77777777" w:rsidR="0036399E" w:rsidRDefault="0036399E" w:rsidP="0036399E">
      <w:pPr>
        <w:rPr>
          <w:rFonts w:asciiTheme="minorHAnsi" w:hAnsiTheme="minorHAnsi" w:cstheme="minorHAnsi"/>
          <w:b/>
          <w:sz w:val="26"/>
          <w:szCs w:val="26"/>
        </w:rPr>
      </w:pPr>
    </w:p>
    <w:tbl>
      <w:tblPr>
        <w:tblStyle w:val="TableGrid"/>
        <w:tblW w:w="0" w:type="auto"/>
        <w:tblInd w:w="738" w:type="dxa"/>
        <w:tblLook w:val="04A0" w:firstRow="1" w:lastRow="0" w:firstColumn="1" w:lastColumn="0" w:noHBand="0" w:noVBand="1"/>
      </w:tblPr>
      <w:tblGrid>
        <w:gridCol w:w="8370"/>
      </w:tblGrid>
      <w:tr w:rsidR="0036399E" w14:paraId="6816C146" w14:textId="77777777" w:rsidTr="00C72238">
        <w:tc>
          <w:tcPr>
            <w:tcW w:w="8370" w:type="dxa"/>
          </w:tcPr>
          <w:p w14:paraId="47DDA50D" w14:textId="77777777" w:rsidR="0036399E" w:rsidRDefault="0036399E" w:rsidP="00C72238">
            <w:pPr>
              <w:widowControl/>
              <w:rPr>
                <w:rFonts w:ascii="Arial" w:hAnsi="Arial" w:cs="Arial"/>
                <w:bCs/>
                <w:i/>
                <w:iCs/>
                <w:sz w:val="22"/>
                <w:szCs w:val="22"/>
              </w:rPr>
            </w:pPr>
          </w:p>
          <w:p w14:paraId="6494742D" w14:textId="7CA1194E" w:rsidR="0036399E" w:rsidRDefault="0036399E" w:rsidP="0036399E">
            <w:pPr>
              <w:widowControl/>
              <w:rPr>
                <w:rFonts w:ascii="Arial" w:hAnsi="Arial" w:cs="Arial"/>
                <w:bCs/>
                <w:i/>
                <w:iCs/>
                <w:sz w:val="22"/>
                <w:szCs w:val="22"/>
              </w:rPr>
            </w:pPr>
            <w:r>
              <w:rPr>
                <w:rFonts w:ascii="Arial" w:hAnsi="Arial" w:cs="Arial"/>
                <w:bCs/>
                <w:i/>
                <w:iCs/>
                <w:sz w:val="22"/>
                <w:szCs w:val="22"/>
              </w:rPr>
              <w:t>In Floodplain Management Regulations, modify where the FIS is adopted:</w:t>
            </w:r>
          </w:p>
          <w:p w14:paraId="2E39DB5C" w14:textId="77777777" w:rsidR="0036399E" w:rsidRPr="00933CCF" w:rsidRDefault="0036399E" w:rsidP="0036399E">
            <w:pPr>
              <w:spacing w:before="120"/>
              <w:ind w:left="720"/>
              <w:rPr>
                <w:rFonts w:ascii="Arial" w:hAnsi="Arial" w:cs="Arial"/>
                <w:sz w:val="22"/>
                <w:szCs w:val="22"/>
              </w:rPr>
            </w:pPr>
            <w:r w:rsidRPr="00933CCF">
              <w:rPr>
                <w:rFonts w:ascii="Arial" w:hAnsi="Arial" w:cs="Arial"/>
                <w:b/>
                <w:sz w:val="22"/>
                <w:szCs w:val="22"/>
              </w:rPr>
              <w:t xml:space="preserve">Sec. 102-2. - Establishment of flood hazard areas. </w:t>
            </w:r>
            <w:r w:rsidRPr="00933CCF">
              <w:rPr>
                <w:rFonts w:ascii="Arial" w:hAnsi="Arial" w:cs="Arial"/>
                <w:sz w:val="22"/>
                <w:szCs w:val="22"/>
              </w:rPr>
              <w:t xml:space="preserve">The Flood Insurance Study for </w:t>
            </w:r>
            <w:r w:rsidRPr="00933CCF">
              <w:rPr>
                <w:rFonts w:ascii="Arial" w:hAnsi="Arial" w:cs="Arial"/>
                <w:b/>
                <w:sz w:val="22"/>
                <w:szCs w:val="22"/>
              </w:rPr>
              <w:t>{County}</w:t>
            </w:r>
            <w:r w:rsidRPr="00933CCF">
              <w:rPr>
                <w:rFonts w:ascii="Arial" w:hAnsi="Arial" w:cs="Arial"/>
                <w:sz w:val="22"/>
                <w:szCs w:val="22"/>
              </w:rPr>
              <w:t xml:space="preserve">, California and Incorporated Areas dated </w:t>
            </w:r>
            <w:r w:rsidRPr="00933CCF">
              <w:rPr>
                <w:rFonts w:ascii="Arial" w:hAnsi="Arial" w:cs="Arial"/>
                <w:b/>
                <w:sz w:val="22"/>
                <w:szCs w:val="22"/>
              </w:rPr>
              <w:t>{date of FIS}</w:t>
            </w:r>
            <w:r w:rsidRPr="00933CCF">
              <w:rPr>
                <w:rFonts w:ascii="Arial" w:hAnsi="Arial" w:cs="Arial"/>
                <w:sz w:val="22"/>
                <w:szCs w:val="22"/>
              </w:rPr>
              <w:t xml:space="preserve">, and all subsequent amendments and revisions, and the accompanying Flood Insurance Rate Maps (FIRM), and all subsequent amendments and revisions to such maps, are hereby adopted by reference as a part of these regulations and serve as the basis for establishing flood hazard areas. Where the building code establishes flood hazard areas, such areas are established by this section.  Additional maps and studies, </w:t>
            </w:r>
            <w:r>
              <w:rPr>
                <w:rFonts w:ascii="Arial" w:hAnsi="Arial" w:cs="Arial"/>
                <w:sz w:val="22"/>
                <w:szCs w:val="22"/>
              </w:rPr>
              <w:t>when</w:t>
            </w:r>
            <w:r w:rsidRPr="00933CCF">
              <w:rPr>
                <w:rFonts w:ascii="Arial" w:hAnsi="Arial" w:cs="Arial"/>
                <w:sz w:val="22"/>
                <w:szCs w:val="22"/>
              </w:rPr>
              <w:t xml:space="preserve"> specifically adopted, supplement the FIS and FIRMs to establish additional flood hazard areas.</w:t>
            </w:r>
            <w:r>
              <w:rPr>
                <w:rFonts w:ascii="Arial" w:hAnsi="Arial" w:cs="Arial"/>
                <w:sz w:val="22"/>
                <w:szCs w:val="22"/>
              </w:rPr>
              <w:t xml:space="preserve"> </w:t>
            </w:r>
            <w:r w:rsidRPr="0036399E">
              <w:rPr>
                <w:rFonts w:ascii="Arial" w:hAnsi="Arial" w:cs="Arial"/>
                <w:b/>
                <w:sz w:val="22"/>
                <w:szCs w:val="22"/>
                <w:u w:val="single"/>
              </w:rPr>
              <w:t>{Either list specifically adopted maps and studies or insert references where such maps and studies are adopted.}</w:t>
            </w:r>
            <w:r w:rsidRPr="00933CCF">
              <w:rPr>
                <w:rFonts w:ascii="Arial" w:hAnsi="Arial" w:cs="Arial"/>
                <w:sz w:val="22"/>
                <w:szCs w:val="22"/>
              </w:rPr>
              <w:t xml:space="preserve"> Maps and studies that establish flood hazard areas are on file at the </w:t>
            </w:r>
            <w:r w:rsidRPr="00933CCF">
              <w:rPr>
                <w:rFonts w:ascii="Arial" w:hAnsi="Arial" w:cs="Arial"/>
                <w:b/>
                <w:sz w:val="22"/>
                <w:szCs w:val="22"/>
              </w:rPr>
              <w:t>{office/agency and address}</w:t>
            </w:r>
            <w:r w:rsidRPr="00933CCF">
              <w:rPr>
                <w:rFonts w:ascii="Arial" w:hAnsi="Arial" w:cs="Arial"/>
                <w:sz w:val="22"/>
                <w:szCs w:val="22"/>
              </w:rPr>
              <w:t xml:space="preserve">. </w:t>
            </w:r>
          </w:p>
          <w:p w14:paraId="7014C6AD" w14:textId="77777777" w:rsidR="0036399E" w:rsidRDefault="0036399E" w:rsidP="00C72238">
            <w:pPr>
              <w:tabs>
                <w:tab w:val="left" w:pos="432"/>
              </w:tabs>
              <w:ind w:left="360"/>
              <w:rPr>
                <w:rFonts w:ascii="Arial" w:hAnsi="Arial" w:cs="Arial"/>
                <w:sz w:val="22"/>
                <w:szCs w:val="22"/>
              </w:rPr>
            </w:pPr>
          </w:p>
        </w:tc>
      </w:tr>
    </w:tbl>
    <w:p w14:paraId="211177B5" w14:textId="77777777" w:rsidR="0036399E" w:rsidRDefault="0036399E" w:rsidP="00FE1AC3">
      <w:pPr>
        <w:rPr>
          <w:rFonts w:asciiTheme="minorHAnsi" w:hAnsiTheme="minorHAnsi" w:cstheme="minorHAnsi"/>
          <w:b/>
          <w:sz w:val="26"/>
          <w:szCs w:val="26"/>
        </w:rPr>
      </w:pPr>
    </w:p>
    <w:p w14:paraId="362A168C" w14:textId="77777777" w:rsidR="0036399E" w:rsidRDefault="0036399E" w:rsidP="00FE1AC3">
      <w:pPr>
        <w:rPr>
          <w:rFonts w:asciiTheme="minorHAnsi" w:hAnsiTheme="minorHAnsi" w:cstheme="minorHAnsi"/>
          <w:b/>
          <w:sz w:val="26"/>
          <w:szCs w:val="26"/>
        </w:rPr>
      </w:pPr>
    </w:p>
    <w:tbl>
      <w:tblPr>
        <w:tblStyle w:val="TableGrid"/>
        <w:tblW w:w="0" w:type="auto"/>
        <w:tblInd w:w="738" w:type="dxa"/>
        <w:tblLook w:val="04A0" w:firstRow="1" w:lastRow="0" w:firstColumn="1" w:lastColumn="0" w:noHBand="0" w:noVBand="1"/>
      </w:tblPr>
      <w:tblGrid>
        <w:gridCol w:w="8370"/>
      </w:tblGrid>
      <w:tr w:rsidR="005F2102" w14:paraId="77CD278B" w14:textId="77777777" w:rsidTr="00AD3C9E">
        <w:tc>
          <w:tcPr>
            <w:tcW w:w="8370" w:type="dxa"/>
          </w:tcPr>
          <w:p w14:paraId="2E366580" w14:textId="2EC1F1F2" w:rsidR="00A87024" w:rsidRDefault="00A87024" w:rsidP="00A87024">
            <w:pPr>
              <w:widowControl/>
              <w:rPr>
                <w:rFonts w:ascii="Arial" w:hAnsi="Arial" w:cs="Arial"/>
                <w:bCs/>
                <w:i/>
                <w:iCs/>
                <w:sz w:val="22"/>
                <w:szCs w:val="22"/>
              </w:rPr>
            </w:pPr>
          </w:p>
          <w:p w14:paraId="77E0AE65" w14:textId="04F7FD9C" w:rsidR="00A87024" w:rsidRDefault="00714B80" w:rsidP="00A87024">
            <w:pPr>
              <w:widowControl/>
              <w:rPr>
                <w:rFonts w:ascii="Arial" w:hAnsi="Arial" w:cs="Arial"/>
                <w:b/>
                <w:sz w:val="22"/>
                <w:szCs w:val="22"/>
              </w:rPr>
            </w:pPr>
            <w:r>
              <w:rPr>
                <w:rFonts w:ascii="Arial" w:hAnsi="Arial" w:cs="Arial"/>
                <w:bCs/>
                <w:i/>
                <w:iCs/>
                <w:sz w:val="22"/>
                <w:szCs w:val="22"/>
              </w:rPr>
              <w:t xml:space="preserve">CCR Title 24, Part 2 Appendix G </w:t>
            </w:r>
            <w:r w:rsidR="005A04C0">
              <w:rPr>
                <w:rFonts w:ascii="Arial" w:hAnsi="Arial" w:cs="Arial"/>
                <w:bCs/>
                <w:i/>
                <w:iCs/>
                <w:sz w:val="22"/>
                <w:szCs w:val="22"/>
              </w:rPr>
              <w:t xml:space="preserve">Section </w:t>
            </w:r>
            <w:proofErr w:type="gramStart"/>
            <w:r w:rsidR="005A04C0">
              <w:rPr>
                <w:rFonts w:ascii="Arial" w:hAnsi="Arial" w:cs="Arial"/>
                <w:bCs/>
                <w:i/>
                <w:iCs/>
                <w:sz w:val="22"/>
                <w:szCs w:val="22"/>
              </w:rPr>
              <w:t xml:space="preserve">G102.2 </w:t>
            </w:r>
            <w:r w:rsidR="00A87024">
              <w:rPr>
                <w:rFonts w:ascii="Arial" w:hAnsi="Arial" w:cs="Arial"/>
                <w:bCs/>
                <w:i/>
                <w:iCs/>
                <w:sz w:val="22"/>
                <w:szCs w:val="22"/>
              </w:rPr>
              <w:t xml:space="preserve"> is</w:t>
            </w:r>
            <w:proofErr w:type="gramEnd"/>
            <w:r w:rsidR="00A87024">
              <w:rPr>
                <w:rFonts w:ascii="Arial" w:hAnsi="Arial" w:cs="Arial"/>
                <w:bCs/>
                <w:i/>
                <w:iCs/>
                <w:sz w:val="22"/>
                <w:szCs w:val="22"/>
              </w:rPr>
              <w:t xml:space="preserve"> hereby amended as follows:</w:t>
            </w:r>
            <w:r w:rsidR="00A87024">
              <w:rPr>
                <w:rFonts w:ascii="Arial" w:hAnsi="Arial" w:cs="Arial"/>
                <w:b/>
                <w:sz w:val="22"/>
                <w:szCs w:val="22"/>
              </w:rPr>
              <w:t xml:space="preserve"> </w:t>
            </w:r>
          </w:p>
          <w:p w14:paraId="1F69B299" w14:textId="447EA328" w:rsidR="0036399E" w:rsidRPr="00AD5048" w:rsidRDefault="005A04C0" w:rsidP="00AD5048">
            <w:pPr>
              <w:spacing w:before="120"/>
              <w:ind w:left="720"/>
              <w:rPr>
                <w:rFonts w:ascii="Arial" w:hAnsi="Arial" w:cs="Arial"/>
                <w:strike/>
                <w:sz w:val="22"/>
                <w:szCs w:val="22"/>
              </w:rPr>
            </w:pPr>
            <w:r>
              <w:rPr>
                <w:rFonts w:ascii="Arial" w:hAnsi="Arial" w:cs="Arial"/>
                <w:b/>
                <w:sz w:val="22"/>
                <w:szCs w:val="22"/>
              </w:rPr>
              <w:t>Section G</w:t>
            </w:r>
            <w:r w:rsidR="005F2102" w:rsidRPr="00933CCF">
              <w:rPr>
                <w:rFonts w:ascii="Arial" w:hAnsi="Arial" w:cs="Arial"/>
                <w:b/>
                <w:sz w:val="22"/>
                <w:szCs w:val="22"/>
              </w:rPr>
              <w:t xml:space="preserve"> 102</w:t>
            </w:r>
            <w:r w:rsidR="00A87024">
              <w:rPr>
                <w:rFonts w:ascii="Arial" w:hAnsi="Arial" w:cs="Arial"/>
                <w:b/>
                <w:sz w:val="22"/>
                <w:szCs w:val="22"/>
              </w:rPr>
              <w:t>.</w:t>
            </w:r>
            <w:r w:rsidR="005F2102" w:rsidRPr="00933CCF">
              <w:rPr>
                <w:rFonts w:ascii="Arial" w:hAnsi="Arial" w:cs="Arial"/>
                <w:b/>
                <w:sz w:val="22"/>
                <w:szCs w:val="22"/>
              </w:rPr>
              <w:t xml:space="preserve">2. - Establishment of flood hazard areas. </w:t>
            </w:r>
            <w:r w:rsidRPr="00AD5048">
              <w:rPr>
                <w:rFonts w:ascii="Arial" w:hAnsi="Arial" w:cs="Arial"/>
                <w:sz w:val="22"/>
                <w:szCs w:val="22"/>
              </w:rPr>
              <w:t xml:space="preserve">Flood hazard areas are established </w:t>
            </w:r>
            <w:r w:rsidR="00AD5048" w:rsidRPr="00134556">
              <w:rPr>
                <w:rFonts w:ascii="Arial" w:hAnsi="Arial" w:cs="Arial"/>
                <w:sz w:val="22"/>
                <w:szCs w:val="22"/>
                <w:u w:val="single"/>
              </w:rPr>
              <w:t>by local floodplain management ordinance</w:t>
            </w:r>
            <w:r w:rsidR="00AD5048">
              <w:rPr>
                <w:rFonts w:ascii="Arial" w:hAnsi="Arial" w:cs="Arial"/>
                <w:sz w:val="22"/>
                <w:szCs w:val="22"/>
                <w:u w:val="single"/>
              </w:rPr>
              <w:t>.</w:t>
            </w:r>
            <w:r w:rsidR="00AD5048" w:rsidRPr="00AD5048">
              <w:rPr>
                <w:rFonts w:ascii="Arial" w:hAnsi="Arial" w:cs="Arial"/>
                <w:sz w:val="22"/>
                <w:szCs w:val="22"/>
              </w:rPr>
              <w:t xml:space="preserve"> </w:t>
            </w:r>
            <w:r w:rsidR="00AD5048" w:rsidRPr="00AD5048">
              <w:rPr>
                <w:rFonts w:ascii="Arial" w:hAnsi="Arial" w:cs="Arial"/>
                <w:strike/>
                <w:sz w:val="22"/>
                <w:szCs w:val="22"/>
              </w:rPr>
              <w:t xml:space="preserve">in </w:t>
            </w:r>
            <w:r w:rsidRPr="00AD5048">
              <w:rPr>
                <w:rFonts w:ascii="Arial" w:hAnsi="Arial" w:cs="Arial"/>
                <w:strike/>
                <w:sz w:val="22"/>
                <w:szCs w:val="22"/>
              </w:rPr>
              <w:t>Section 1612.3 of this code, adopted by the applicable governing body on [INSERT DATE].</w:t>
            </w:r>
            <w:r w:rsidR="00AD2280" w:rsidRPr="00AD5048">
              <w:rPr>
                <w:rFonts w:ascii="Arial" w:hAnsi="Arial" w:cs="Arial"/>
                <w:strike/>
                <w:sz w:val="22"/>
                <w:szCs w:val="22"/>
              </w:rPr>
              <w:t xml:space="preserve"> </w:t>
            </w:r>
          </w:p>
          <w:p w14:paraId="575BCCD0" w14:textId="128BFCB0" w:rsidR="00AD5048" w:rsidRDefault="00AD5048" w:rsidP="00AD5048">
            <w:pPr>
              <w:spacing w:before="120"/>
              <w:ind w:left="720"/>
              <w:rPr>
                <w:rFonts w:ascii="Arial" w:hAnsi="Arial" w:cs="Arial"/>
                <w:sz w:val="22"/>
                <w:szCs w:val="22"/>
              </w:rPr>
            </w:pPr>
          </w:p>
        </w:tc>
      </w:tr>
    </w:tbl>
    <w:p w14:paraId="2F813977" w14:textId="77777777" w:rsidR="00F0560C" w:rsidRDefault="00F0560C" w:rsidP="00FE1AC3">
      <w:pPr>
        <w:rPr>
          <w:rFonts w:asciiTheme="minorHAnsi" w:hAnsiTheme="minorHAnsi" w:cstheme="minorHAnsi"/>
          <w:b/>
          <w:i/>
          <w:sz w:val="26"/>
          <w:szCs w:val="26"/>
        </w:rPr>
      </w:pPr>
    </w:p>
    <w:p w14:paraId="1B6C9208" w14:textId="07E37A35" w:rsidR="00AD5048" w:rsidRDefault="00AD5048">
      <w:pPr>
        <w:widowControl/>
        <w:spacing w:before="120" w:after="120"/>
        <w:rPr>
          <w:rFonts w:asciiTheme="minorHAnsi" w:hAnsiTheme="minorHAnsi" w:cstheme="minorHAnsi"/>
          <w:sz w:val="26"/>
          <w:szCs w:val="26"/>
        </w:rPr>
      </w:pPr>
      <w:r>
        <w:rPr>
          <w:rFonts w:asciiTheme="minorHAnsi" w:hAnsiTheme="minorHAnsi" w:cstheme="minorHAnsi"/>
          <w:sz w:val="26"/>
          <w:szCs w:val="26"/>
        </w:rPr>
        <w:br w:type="page"/>
      </w:r>
    </w:p>
    <w:p w14:paraId="3CD3FF59" w14:textId="13A52CCB" w:rsidR="008051C9" w:rsidRDefault="00AD5048" w:rsidP="008051C9">
      <w:pPr>
        <w:tabs>
          <w:tab w:val="left" w:pos="-720"/>
        </w:tabs>
        <w:suppressAutoHyphens/>
        <w:rPr>
          <w:rFonts w:asciiTheme="minorHAnsi" w:hAnsiTheme="minorHAnsi" w:cstheme="minorHAnsi"/>
          <w:sz w:val="26"/>
          <w:szCs w:val="26"/>
        </w:rPr>
      </w:pPr>
      <w:r>
        <w:rPr>
          <w:rFonts w:asciiTheme="minorHAnsi" w:hAnsiTheme="minorHAnsi" w:cstheme="minorHAnsi"/>
          <w:sz w:val="26"/>
          <w:szCs w:val="26"/>
        </w:rPr>
        <w:lastRenderedPageBreak/>
        <w:t>Many communities do not “fill in the blanks” in building code</w:t>
      </w:r>
      <w:r w:rsidR="00BC4197">
        <w:rPr>
          <w:rFonts w:asciiTheme="minorHAnsi" w:hAnsiTheme="minorHAnsi" w:cstheme="minorHAnsi"/>
          <w:sz w:val="26"/>
          <w:szCs w:val="26"/>
        </w:rPr>
        <w:t xml:space="preserve"> (Part 2 Section 1612.3 and Part 2.5 Table R301.2(1)). In</w:t>
      </w:r>
      <w:r>
        <w:rPr>
          <w:rFonts w:asciiTheme="minorHAnsi" w:hAnsiTheme="minorHAnsi" w:cstheme="minorHAnsi"/>
          <w:sz w:val="26"/>
          <w:szCs w:val="26"/>
        </w:rPr>
        <w:t>stead</w:t>
      </w:r>
      <w:r w:rsidR="00BC4197">
        <w:rPr>
          <w:rFonts w:asciiTheme="minorHAnsi" w:hAnsiTheme="minorHAnsi" w:cstheme="minorHAnsi"/>
          <w:sz w:val="26"/>
          <w:szCs w:val="26"/>
        </w:rPr>
        <w:t>, they leave the blanks and</w:t>
      </w:r>
      <w:r>
        <w:rPr>
          <w:rFonts w:asciiTheme="minorHAnsi" w:hAnsiTheme="minorHAnsi" w:cstheme="minorHAnsi"/>
          <w:sz w:val="26"/>
          <w:szCs w:val="26"/>
        </w:rPr>
        <w:t xml:space="preserve"> rely on adoption of the Flood Insurance Study and maps in local floodplain management regulations. </w:t>
      </w:r>
      <w:r w:rsidR="00BC4197">
        <w:rPr>
          <w:rFonts w:asciiTheme="minorHAnsi" w:hAnsiTheme="minorHAnsi" w:cstheme="minorHAnsi"/>
          <w:sz w:val="26"/>
          <w:szCs w:val="26"/>
        </w:rPr>
        <w:t>Communities may elect to make this explicit, as follows:</w:t>
      </w:r>
    </w:p>
    <w:p w14:paraId="60F10AE4" w14:textId="77777777" w:rsidR="00BC4197" w:rsidRPr="009F2B59" w:rsidRDefault="00BC4197" w:rsidP="008051C9">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8051C9" w14:paraId="1353F13C" w14:textId="77777777" w:rsidTr="006753EE">
        <w:tc>
          <w:tcPr>
            <w:tcW w:w="8370" w:type="dxa"/>
          </w:tcPr>
          <w:p w14:paraId="018F632A" w14:textId="77777777" w:rsidR="00A87024" w:rsidRDefault="00A87024" w:rsidP="00A87024">
            <w:pPr>
              <w:widowControl/>
              <w:rPr>
                <w:rFonts w:ascii="Arial" w:hAnsi="Arial" w:cs="Arial"/>
                <w:bCs/>
                <w:i/>
                <w:iCs/>
                <w:sz w:val="22"/>
                <w:szCs w:val="22"/>
              </w:rPr>
            </w:pPr>
          </w:p>
          <w:p w14:paraId="64F4A067" w14:textId="1243FF6B" w:rsidR="008C2F06" w:rsidRDefault="00714B80" w:rsidP="008C2F06">
            <w:pPr>
              <w:widowControl/>
              <w:rPr>
                <w:rFonts w:ascii="Arial" w:hAnsi="Arial" w:cs="Arial"/>
                <w:b/>
                <w:sz w:val="22"/>
                <w:szCs w:val="22"/>
              </w:rPr>
            </w:pPr>
            <w:r>
              <w:rPr>
                <w:rFonts w:ascii="Arial" w:hAnsi="Arial" w:cs="Arial"/>
                <w:bCs/>
                <w:i/>
                <w:iCs/>
                <w:sz w:val="22"/>
                <w:szCs w:val="22"/>
              </w:rPr>
              <w:t xml:space="preserve">CCR Title 24, Part 2 </w:t>
            </w:r>
            <w:r w:rsidR="008C2F06">
              <w:rPr>
                <w:rFonts w:ascii="Arial" w:hAnsi="Arial" w:cs="Arial"/>
                <w:bCs/>
                <w:i/>
                <w:iCs/>
                <w:sz w:val="22"/>
                <w:szCs w:val="22"/>
              </w:rPr>
              <w:t>Section 1612</w:t>
            </w:r>
            <w:r w:rsidR="00273E57">
              <w:rPr>
                <w:rFonts w:ascii="Arial" w:hAnsi="Arial" w:cs="Arial"/>
                <w:bCs/>
                <w:i/>
                <w:iCs/>
                <w:sz w:val="22"/>
                <w:szCs w:val="22"/>
              </w:rPr>
              <w:t>.3</w:t>
            </w:r>
            <w:r w:rsidR="008C2F06">
              <w:rPr>
                <w:rFonts w:ascii="Arial" w:hAnsi="Arial" w:cs="Arial"/>
                <w:bCs/>
                <w:i/>
                <w:iCs/>
                <w:sz w:val="22"/>
                <w:szCs w:val="22"/>
              </w:rPr>
              <w:t xml:space="preserve"> is hereby amended as follows:</w:t>
            </w:r>
            <w:r w:rsidR="008C2F06">
              <w:rPr>
                <w:rFonts w:ascii="Arial" w:hAnsi="Arial" w:cs="Arial"/>
                <w:b/>
                <w:sz w:val="22"/>
                <w:szCs w:val="22"/>
              </w:rPr>
              <w:t xml:space="preserve"> </w:t>
            </w:r>
          </w:p>
          <w:p w14:paraId="6600E8A3" w14:textId="77777777" w:rsidR="000225FA" w:rsidRDefault="000225FA" w:rsidP="009F2B59">
            <w:pPr>
              <w:widowControl/>
              <w:rPr>
                <w:rFonts w:ascii="Arial" w:hAnsi="Arial" w:cs="Arial"/>
                <w:b/>
                <w:sz w:val="22"/>
                <w:szCs w:val="22"/>
              </w:rPr>
            </w:pPr>
          </w:p>
          <w:p w14:paraId="6223D29E" w14:textId="3DDC2498" w:rsidR="008051C9" w:rsidRPr="0036399E" w:rsidRDefault="00134556" w:rsidP="0036399E">
            <w:pPr>
              <w:ind w:left="360"/>
              <w:rPr>
                <w:rFonts w:ascii="Arial" w:hAnsi="Arial" w:cs="Arial"/>
                <w:i/>
                <w:sz w:val="22"/>
                <w:szCs w:val="22"/>
              </w:rPr>
            </w:pPr>
            <w:r w:rsidRPr="00134556">
              <w:rPr>
                <w:rFonts w:ascii="Arial" w:hAnsi="Arial" w:cs="Arial"/>
                <w:b/>
                <w:sz w:val="22"/>
                <w:szCs w:val="22"/>
              </w:rPr>
              <w:t>1612.3 Establishment of flood hazard areas</w:t>
            </w:r>
            <w:r w:rsidRPr="00134556">
              <w:rPr>
                <w:rFonts w:ascii="Arial" w:hAnsi="Arial" w:cs="Arial"/>
                <w:sz w:val="22"/>
                <w:szCs w:val="22"/>
              </w:rPr>
              <w:t>. To establish flood hazard areas, the applicable governing authority shall</w:t>
            </w:r>
            <w:r w:rsidRPr="00134556">
              <w:rPr>
                <w:rFonts w:ascii="Arial" w:hAnsi="Arial" w:cs="Arial"/>
                <w:sz w:val="22"/>
                <w:szCs w:val="22"/>
                <w:u w:val="single"/>
              </w:rPr>
              <w:t>, by local floodplain management ordinance,</w:t>
            </w:r>
            <w:r w:rsidRPr="00134556">
              <w:rPr>
                <w:rFonts w:ascii="Arial" w:hAnsi="Arial" w:cs="Arial"/>
                <w:sz w:val="22"/>
                <w:szCs w:val="22"/>
              </w:rPr>
              <w:t xml:space="preserve"> adopt a flood hazard map and supporting data. </w:t>
            </w:r>
            <w:r w:rsidRPr="00134556">
              <w:rPr>
                <w:rFonts w:ascii="Arial" w:hAnsi="Arial" w:cs="Arial"/>
                <w:strike/>
                <w:sz w:val="22"/>
                <w:szCs w:val="22"/>
              </w:rPr>
              <w:t xml:space="preserve">The flood hazard map shall include, at a minimum, areas of special flood hazard as identified by the Federal Emergency Management Agency in an engineering report entitled “The Flood Insurance Study for [INSERT NAME OF JURISDICTION],” dated [INSERT DATE OF ISSUANCE], as amended or revised with the accompanying Flood Insurance Rate Map (FIRM) and Flood Boundary and Floodway Map (FBFM) and related supporting data along with any revisions thereto. </w:t>
            </w:r>
            <w:r w:rsidRPr="00134556">
              <w:rPr>
                <w:rFonts w:ascii="Arial" w:hAnsi="Arial" w:cs="Arial"/>
                <w:sz w:val="22"/>
                <w:szCs w:val="22"/>
              </w:rPr>
              <w:t>The adopted flood hazard map and supporting data are hereby adopted by reference and declared to be part of this Section.</w:t>
            </w:r>
          </w:p>
        </w:tc>
      </w:tr>
    </w:tbl>
    <w:p w14:paraId="165A4B9D" w14:textId="77777777" w:rsidR="00FE1AC3" w:rsidRPr="009F2B59" w:rsidRDefault="00FE1AC3" w:rsidP="00FE1AC3">
      <w:pPr>
        <w:rPr>
          <w:rFonts w:asciiTheme="minorHAnsi" w:hAnsiTheme="minorHAnsi" w:cstheme="minorHAnsi"/>
          <w:i/>
          <w:sz w:val="26"/>
          <w:szCs w:val="26"/>
        </w:rPr>
      </w:pPr>
    </w:p>
    <w:tbl>
      <w:tblPr>
        <w:tblStyle w:val="TableGrid"/>
        <w:tblW w:w="0" w:type="auto"/>
        <w:tblInd w:w="738" w:type="dxa"/>
        <w:tblLook w:val="04A0" w:firstRow="1" w:lastRow="0" w:firstColumn="1" w:lastColumn="0" w:noHBand="0" w:noVBand="1"/>
      </w:tblPr>
      <w:tblGrid>
        <w:gridCol w:w="8370"/>
      </w:tblGrid>
      <w:tr w:rsidR="008051C9" w14:paraId="0ABAEBDD" w14:textId="77777777" w:rsidTr="003F3865">
        <w:trPr>
          <w:cantSplit/>
        </w:trPr>
        <w:tc>
          <w:tcPr>
            <w:tcW w:w="8370" w:type="dxa"/>
          </w:tcPr>
          <w:p w14:paraId="5B3F3C2B" w14:textId="77777777" w:rsidR="006F7782" w:rsidRDefault="006F7782" w:rsidP="006F7782">
            <w:pPr>
              <w:widowControl/>
              <w:rPr>
                <w:rFonts w:ascii="Arial" w:hAnsi="Arial" w:cs="Arial"/>
                <w:bCs/>
                <w:i/>
                <w:iCs/>
                <w:sz w:val="22"/>
                <w:szCs w:val="22"/>
              </w:rPr>
            </w:pPr>
          </w:p>
          <w:p w14:paraId="45518928" w14:textId="2B01C3D3" w:rsidR="008051C9" w:rsidRPr="0036399E" w:rsidRDefault="00714B80" w:rsidP="0036399E">
            <w:pPr>
              <w:widowControl/>
              <w:rPr>
                <w:rFonts w:ascii="Arial" w:hAnsi="Arial" w:cs="Arial"/>
                <w:b/>
                <w:sz w:val="22"/>
                <w:szCs w:val="22"/>
              </w:rPr>
            </w:pPr>
            <w:r>
              <w:rPr>
                <w:rFonts w:ascii="Arial" w:hAnsi="Arial" w:cs="Arial"/>
                <w:bCs/>
                <w:i/>
                <w:iCs/>
                <w:sz w:val="22"/>
                <w:szCs w:val="22"/>
              </w:rPr>
              <w:t xml:space="preserve">CCR Title 24, Part 2.5 </w:t>
            </w:r>
            <w:r w:rsidR="006F7782">
              <w:rPr>
                <w:rFonts w:ascii="Arial" w:hAnsi="Arial" w:cs="Arial"/>
                <w:bCs/>
                <w:i/>
                <w:iCs/>
                <w:sz w:val="22"/>
                <w:szCs w:val="22"/>
              </w:rPr>
              <w:t>Section R301.2, Table R</w:t>
            </w:r>
            <w:r w:rsidR="00BC4197">
              <w:rPr>
                <w:rFonts w:ascii="Arial" w:hAnsi="Arial" w:cs="Arial"/>
                <w:bCs/>
                <w:i/>
                <w:iCs/>
                <w:sz w:val="22"/>
                <w:szCs w:val="22"/>
              </w:rPr>
              <w:t>3</w:t>
            </w:r>
            <w:r w:rsidR="006F7782">
              <w:rPr>
                <w:rFonts w:ascii="Arial" w:hAnsi="Arial" w:cs="Arial"/>
                <w:bCs/>
                <w:i/>
                <w:iCs/>
                <w:sz w:val="22"/>
                <w:szCs w:val="22"/>
              </w:rPr>
              <w:t>01.2(1) is hereby amended as follows:</w:t>
            </w:r>
            <w:r w:rsidR="006F7782">
              <w:rPr>
                <w:rFonts w:ascii="Arial" w:hAnsi="Arial" w:cs="Arial"/>
                <w:b/>
                <w:sz w:val="22"/>
                <w:szCs w:val="22"/>
              </w:rPr>
              <w:t xml:space="preserve"> </w:t>
            </w:r>
          </w:p>
          <w:p w14:paraId="1D098D1B" w14:textId="2C06C594" w:rsidR="00134556" w:rsidRDefault="00134556" w:rsidP="00134556">
            <w:pPr>
              <w:pStyle w:val="StyleIBC1"/>
              <w:ind w:left="375"/>
              <w:rPr>
                <w:rFonts w:ascii="Arial" w:hAnsi="Arial" w:cs="Arial"/>
                <w:b/>
              </w:rPr>
            </w:pPr>
            <w:r w:rsidRPr="00134556">
              <w:rPr>
                <w:rFonts w:ascii="Arial" w:hAnsi="Arial" w:cs="Arial"/>
                <w:b/>
              </w:rPr>
              <w:t>Table R301.2(1) Climatic and Geographic Design Criteria (partial)</w:t>
            </w:r>
          </w:p>
          <w:p w14:paraId="1AD68859" w14:textId="0C374BA8" w:rsidR="00C46C1F" w:rsidRDefault="006040DE" w:rsidP="00134556">
            <w:pPr>
              <w:pStyle w:val="StyleIBC1"/>
              <w:ind w:left="375"/>
              <w:rPr>
                <w:rFonts w:ascii="Arial" w:hAnsi="Arial" w:cs="Arial"/>
                <w:b/>
              </w:rPr>
            </w:pPr>
            <w:r>
              <w:rPr>
                <w:rFonts w:ascii="Arial" w:hAnsi="Arial" w:cs="Arial"/>
                <w:b/>
              </w:rPr>
              <w:t xml:space="preserve">| </w:t>
            </w:r>
            <w:r w:rsidR="00C46C1F" w:rsidRPr="00134556">
              <w:rPr>
                <w:rFonts w:ascii="Arial" w:hAnsi="Arial" w:cs="Arial"/>
                <w:b/>
              </w:rPr>
              <w:t xml:space="preserve">Flood </w:t>
            </w:r>
            <w:proofErr w:type="spellStart"/>
            <w:r w:rsidR="00C46C1F" w:rsidRPr="00134556">
              <w:rPr>
                <w:rFonts w:ascii="Arial" w:hAnsi="Arial" w:cs="Arial"/>
                <w:b/>
              </w:rPr>
              <w:t>Hazards</w:t>
            </w:r>
            <w:r w:rsidR="00C46C1F" w:rsidRPr="006040DE">
              <w:rPr>
                <w:rFonts w:ascii="Arial" w:hAnsi="Arial" w:cs="Arial"/>
                <w:b/>
                <w:vertAlign w:val="superscript"/>
              </w:rPr>
              <w:t>g</w:t>
            </w:r>
            <w:proofErr w:type="spellEnd"/>
            <w:r w:rsidRPr="006040DE">
              <w:rPr>
                <w:rFonts w:ascii="Arial" w:hAnsi="Arial" w:cs="Arial"/>
                <w:b/>
                <w:vertAlign w:val="superscript"/>
              </w:rPr>
              <w:t xml:space="preserve"> </w:t>
            </w:r>
            <w:r w:rsidRPr="006040DE">
              <w:rPr>
                <w:rFonts w:ascii="Arial" w:hAnsi="Arial" w:cs="Arial"/>
                <w:b/>
              </w:rPr>
              <w:t>|</w:t>
            </w:r>
          </w:p>
          <w:p w14:paraId="6A3EF0B6" w14:textId="77777777" w:rsidR="008051C9" w:rsidRPr="00134556" w:rsidRDefault="00134556" w:rsidP="000225FA">
            <w:pPr>
              <w:ind w:left="864"/>
              <w:rPr>
                <w:rFonts w:ascii="Arial" w:hAnsi="Arial" w:cs="Arial"/>
                <w:strike/>
                <w:sz w:val="22"/>
                <w:szCs w:val="22"/>
              </w:rPr>
            </w:pPr>
            <w:r w:rsidRPr="00134556">
              <w:rPr>
                <w:rFonts w:ascii="Arial" w:hAnsi="Arial" w:cs="Arial"/>
                <w:sz w:val="22"/>
                <w:szCs w:val="22"/>
              </w:rPr>
              <w:t>g.</w:t>
            </w:r>
            <w:r w:rsidRPr="00134556">
              <w:rPr>
                <w:rFonts w:ascii="Arial" w:hAnsi="Arial" w:cs="Arial"/>
                <w:sz w:val="22"/>
                <w:szCs w:val="22"/>
              </w:rPr>
              <w:tab/>
              <w:t xml:space="preserve">The jurisdiction shall, </w:t>
            </w:r>
            <w:r w:rsidRPr="00134556">
              <w:rPr>
                <w:rFonts w:ascii="Arial" w:hAnsi="Arial" w:cs="Arial"/>
                <w:sz w:val="22"/>
                <w:szCs w:val="22"/>
                <w:u w:val="single"/>
              </w:rPr>
              <w:t>by local floodplain management ordinance,</w:t>
            </w:r>
            <w:r w:rsidRPr="00134556">
              <w:rPr>
                <w:rFonts w:ascii="Arial" w:hAnsi="Arial" w:cs="Arial"/>
                <w:sz w:val="22"/>
                <w:szCs w:val="22"/>
              </w:rPr>
              <w:t xml:space="preserve"> adopt a flood hazard map and supporting data which are hereby adopted by reference and declared to be part of this Section. </w:t>
            </w:r>
            <w:r w:rsidRPr="00134556">
              <w:rPr>
                <w:rFonts w:ascii="Arial" w:hAnsi="Arial" w:cs="Arial"/>
                <w:strike/>
                <w:sz w:val="22"/>
                <w:szCs w:val="22"/>
              </w:rPr>
              <w:t xml:space="preserve">fill in this part of the table with (a) the date of the jurisdiction’s entry into the National Flood Insurance Program (date of adoption of the first code or ordinance for management of flood hazard areas), (b) the date(s) of the Flood Insurance Study and (c) the panel numbers and dates of all currently effective FIRMs and FBFMs or other flood hazard map adopted by the authority having jurisdiction, as amended. </w:t>
            </w:r>
          </w:p>
          <w:p w14:paraId="51998CC9" w14:textId="5887BBDD" w:rsidR="00134556" w:rsidRDefault="00134556" w:rsidP="000225FA">
            <w:pPr>
              <w:ind w:left="864"/>
              <w:rPr>
                <w:rFonts w:ascii="Arial" w:hAnsi="Arial" w:cs="Arial"/>
                <w:sz w:val="22"/>
                <w:szCs w:val="22"/>
              </w:rPr>
            </w:pPr>
          </w:p>
        </w:tc>
      </w:tr>
    </w:tbl>
    <w:p w14:paraId="43A76F8D" w14:textId="77777777" w:rsidR="003510BB" w:rsidRDefault="003510BB" w:rsidP="003510BB">
      <w:pPr>
        <w:rPr>
          <w:rFonts w:ascii="Garamond" w:hAnsi="Garamond" w:cs="Calibri"/>
          <w:sz w:val="28"/>
          <w:szCs w:val="28"/>
        </w:rPr>
      </w:pPr>
    </w:p>
    <w:p w14:paraId="21DA0286" w14:textId="4C1FF600" w:rsidR="005C026D" w:rsidRPr="005D41A2" w:rsidRDefault="005C026D" w:rsidP="0093485F">
      <w:pPr>
        <w:widowControl/>
        <w:spacing w:before="120" w:after="120"/>
        <w:rPr>
          <w:rFonts w:asciiTheme="minorHAnsi" w:hAnsiTheme="minorHAnsi" w:cstheme="minorHAnsi"/>
          <w:sz w:val="28"/>
          <w:szCs w:val="28"/>
        </w:rPr>
      </w:pPr>
    </w:p>
    <w:sectPr w:rsidR="005C026D" w:rsidRPr="005D41A2" w:rsidSect="003A660F">
      <w:footerReference w:type="default" r:id="rId14"/>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78199" w14:textId="77777777" w:rsidR="003213D8" w:rsidRDefault="003213D8" w:rsidP="00273EEE">
      <w:r>
        <w:separator/>
      </w:r>
    </w:p>
  </w:endnote>
  <w:endnote w:type="continuationSeparator" w:id="0">
    <w:p w14:paraId="59E2C9AB" w14:textId="77777777" w:rsidR="003213D8" w:rsidRDefault="003213D8" w:rsidP="0027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5A26F" w14:textId="13644BA2" w:rsidR="00273EEE" w:rsidRPr="00273EEE" w:rsidRDefault="00273EEE">
    <w:pPr>
      <w:pStyle w:val="Footer"/>
      <w:rPr>
        <w:rFonts w:ascii="Arial" w:hAnsi="Arial" w:cs="Arial"/>
      </w:rPr>
    </w:pPr>
    <w:r>
      <w:rPr>
        <w:rFonts w:ascii="Arial" w:hAnsi="Arial" w:cs="Arial"/>
      </w:rPr>
      <w:t xml:space="preserve">Higher Standard:  </w:t>
    </w:r>
    <w:r w:rsidR="00F0560C" w:rsidRPr="00A87024">
      <w:rPr>
        <w:rFonts w:ascii="Arial" w:hAnsi="Arial" w:cs="Arial"/>
      </w:rPr>
      <w:t xml:space="preserve">Flood Hazard </w:t>
    </w:r>
    <w:r w:rsidR="00AD2280">
      <w:rPr>
        <w:rFonts w:ascii="Arial" w:hAnsi="Arial" w:cs="Arial"/>
      </w:rPr>
      <w:t>Studies/</w:t>
    </w:r>
    <w:r w:rsidR="00F0560C" w:rsidRPr="00A87024">
      <w:rPr>
        <w:rFonts w:ascii="Arial" w:hAnsi="Arial" w:cs="Arial"/>
      </w:rPr>
      <w:t>Map</w:t>
    </w:r>
    <w:r w:rsidR="00AD2280">
      <w:rPr>
        <w:rFonts w:ascii="Arial" w:hAnsi="Arial" w:cs="Arial"/>
      </w:rPr>
      <w:t>s</w:t>
    </w:r>
    <w:r w:rsidR="00F0560C" w:rsidRPr="00A87024">
      <w:rPr>
        <w:rFonts w:ascii="Arial" w:hAnsi="Arial" w:cs="Arial"/>
      </w:rPr>
      <w:t xml:space="preserve"> in Addition to </w:t>
    </w:r>
    <w:r w:rsidR="00AD2280">
      <w:rPr>
        <w:rFonts w:ascii="Arial" w:hAnsi="Arial" w:cs="Arial"/>
      </w:rPr>
      <w:t>FIS/</w:t>
    </w:r>
    <w:r w:rsidR="00F0560C" w:rsidRPr="00A87024">
      <w:rPr>
        <w:rFonts w:ascii="Arial" w:hAnsi="Arial" w:cs="Arial"/>
      </w:rPr>
      <w:t xml:space="preserve"> FIRM</w:t>
    </w:r>
    <w:r w:rsidR="0013591C" w:rsidRPr="005624E0">
      <w:rPr>
        <w:rFonts w:ascii="Arial" w:hAnsi="Arial" w:cs="Arial"/>
      </w:rPr>
      <w:t xml:space="preserve"> (</w:t>
    </w:r>
    <w:r w:rsidR="00061C3D">
      <w:rPr>
        <w:rFonts w:ascii="Arial" w:hAnsi="Arial" w:cs="Arial"/>
      </w:rPr>
      <w:t>August</w:t>
    </w:r>
    <w:r w:rsidR="00714B80">
      <w:rPr>
        <w:rFonts w:ascii="Arial" w:hAnsi="Arial" w:cs="Arial"/>
      </w:rPr>
      <w:t xml:space="preserve"> 2020</w:t>
    </w:r>
    <w:r w:rsidR="009F2B59">
      <w:rPr>
        <w:rFonts w:ascii="Arial" w:hAnsi="Arial" w:cs="Arial"/>
      </w:rPr>
      <w:t>)</w:t>
    </w:r>
    <w:r>
      <w:rPr>
        <w:rFonts w:ascii="Arial" w:hAnsi="Arial" w:cs="Arial"/>
      </w:rPr>
      <w:tab/>
    </w:r>
    <w:r w:rsidR="00E821F7" w:rsidRPr="00273EEE">
      <w:rPr>
        <w:rFonts w:ascii="Arial" w:hAnsi="Arial" w:cs="Arial"/>
      </w:rPr>
      <w:fldChar w:fldCharType="begin"/>
    </w:r>
    <w:r w:rsidRPr="00273EEE">
      <w:rPr>
        <w:rFonts w:ascii="Arial" w:hAnsi="Arial" w:cs="Arial"/>
      </w:rPr>
      <w:instrText xml:space="preserve"> PAGE   \* MERGEFORMAT </w:instrText>
    </w:r>
    <w:r w:rsidR="00E821F7" w:rsidRPr="00273EEE">
      <w:rPr>
        <w:rFonts w:ascii="Arial" w:hAnsi="Arial" w:cs="Arial"/>
      </w:rPr>
      <w:fldChar w:fldCharType="separate"/>
    </w:r>
    <w:r w:rsidR="0004642A">
      <w:rPr>
        <w:rFonts w:ascii="Arial" w:hAnsi="Arial" w:cs="Arial"/>
        <w:noProof/>
      </w:rPr>
      <w:t>1</w:t>
    </w:r>
    <w:r w:rsidR="00E821F7" w:rsidRPr="00273EEE">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78ED9" w14:textId="77777777" w:rsidR="003213D8" w:rsidRDefault="003213D8" w:rsidP="00273EEE">
      <w:r>
        <w:separator/>
      </w:r>
    </w:p>
  </w:footnote>
  <w:footnote w:type="continuationSeparator" w:id="0">
    <w:p w14:paraId="64004EAA" w14:textId="77777777" w:rsidR="003213D8" w:rsidRDefault="003213D8" w:rsidP="00273EEE">
      <w:r>
        <w:continuationSeparator/>
      </w:r>
    </w:p>
  </w:footnote>
  <w:footnote w:id="1">
    <w:p w14:paraId="40BACEAF" w14:textId="7F4E211E" w:rsidR="00A87024" w:rsidRDefault="00A87024">
      <w:pPr>
        <w:pStyle w:val="FootnoteText"/>
      </w:pPr>
      <w:r>
        <w:rPr>
          <w:rStyle w:val="FootnoteReference"/>
        </w:rPr>
        <w:footnoteRef/>
      </w:r>
      <w:r w:rsidRPr="00EB6E63">
        <w:rPr>
          <w:rFonts w:asciiTheme="minorHAnsi" w:hAnsiTheme="minorHAnsi" w:cstheme="minorHAnsi"/>
        </w:rPr>
        <w:t xml:space="preserve">Reference:  </w:t>
      </w:r>
      <w:hyperlink r:id="rId1" w:history="1">
        <w:r w:rsidRPr="00EB6E63">
          <w:rPr>
            <w:rStyle w:val="Hyperlink"/>
            <w:rFonts w:asciiTheme="minorHAnsi" w:hAnsiTheme="minorHAnsi" w:cstheme="minorHAnsi"/>
            <w:i/>
          </w:rPr>
          <w:t>Reducing Flood Losses Through the International Codes: Coordinating Building Codes and Floodplain Management Regulations</w:t>
        </w:r>
      </w:hyperlink>
      <w:r w:rsidRPr="00EB6E63">
        <w:rPr>
          <w:rFonts w:asciiTheme="minorHAnsi" w:hAnsiTheme="minorHAnsi" w:cstheme="minorHAnsi"/>
          <w:i/>
        </w:rPr>
        <w:t xml:space="preserve"> </w:t>
      </w:r>
      <w:r w:rsidRPr="00EB6E63">
        <w:rPr>
          <w:rFonts w:asciiTheme="minorHAnsi" w:hAnsiTheme="minorHAnsi" w:cstheme="minorHAnsi"/>
        </w:rPr>
        <w:t>(5</w:t>
      </w:r>
      <w:r w:rsidRPr="00EB6E63">
        <w:rPr>
          <w:rFonts w:asciiTheme="minorHAnsi" w:hAnsiTheme="minorHAnsi" w:cstheme="minorHAnsi"/>
          <w:vertAlign w:val="superscript"/>
        </w:rPr>
        <w:t>th</w:t>
      </w:r>
      <w:r w:rsidRPr="00EB6E63">
        <w:rPr>
          <w:rFonts w:asciiTheme="minorHAnsi" w:hAnsiTheme="minorHAnsi" w:cstheme="minorHAnsi"/>
        </w:rPr>
        <w:t xml:space="preserve"> Edition, 2019), International Code Council and FEMA.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E5202"/>
    <w:multiLevelType w:val="hybridMultilevel"/>
    <w:tmpl w:val="972E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42D57"/>
    <w:multiLevelType w:val="hybridMultilevel"/>
    <w:tmpl w:val="CA9C70E4"/>
    <w:lvl w:ilvl="0" w:tplc="FB9C1B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A830D3"/>
    <w:multiLevelType w:val="hybridMultilevel"/>
    <w:tmpl w:val="D7F67A38"/>
    <w:lvl w:ilvl="0" w:tplc="4606CA5E">
      <w:start w:val="1"/>
      <w:numFmt w:val="decimal"/>
      <w:lvlText w:val="(%1)"/>
      <w:lvlJc w:val="left"/>
      <w:pPr>
        <w:tabs>
          <w:tab w:val="num" w:pos="1200"/>
        </w:tabs>
        <w:ind w:left="1200" w:hanging="360"/>
      </w:pPr>
      <w:rPr>
        <w:rFonts w:hint="default"/>
      </w:rPr>
    </w:lvl>
    <w:lvl w:ilvl="1" w:tplc="C6C88A1E">
      <w:start w:val="1"/>
      <w:numFmt w:val="lowerLetter"/>
      <w:lvlText w:val="(%2)"/>
      <w:lvlJc w:val="left"/>
      <w:pPr>
        <w:tabs>
          <w:tab w:val="num" w:pos="2280"/>
        </w:tabs>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 w15:restartNumberingAfterBreak="0">
    <w:nsid w:val="1D6304AE"/>
    <w:multiLevelType w:val="hybridMultilevel"/>
    <w:tmpl w:val="5BF42B8C"/>
    <w:lvl w:ilvl="0" w:tplc="88D4AD56">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275F4"/>
    <w:multiLevelType w:val="hybridMultilevel"/>
    <w:tmpl w:val="11A2E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4F286C"/>
    <w:multiLevelType w:val="hybridMultilevel"/>
    <w:tmpl w:val="D8FCF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3C123A"/>
    <w:multiLevelType w:val="hybridMultilevel"/>
    <w:tmpl w:val="F0488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4297B"/>
    <w:multiLevelType w:val="hybridMultilevel"/>
    <w:tmpl w:val="41A2494C"/>
    <w:lvl w:ilvl="0" w:tplc="5CD6F55C">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814AA"/>
    <w:multiLevelType w:val="hybridMultilevel"/>
    <w:tmpl w:val="CA9C70E4"/>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662539"/>
    <w:multiLevelType w:val="multilevel"/>
    <w:tmpl w:val="84C615A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3E7137FD"/>
    <w:multiLevelType w:val="hybridMultilevel"/>
    <w:tmpl w:val="23025B3A"/>
    <w:lvl w:ilvl="0" w:tplc="B1440F9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76F84"/>
    <w:multiLevelType w:val="hybridMultilevel"/>
    <w:tmpl w:val="F334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436EE"/>
    <w:multiLevelType w:val="hybridMultilevel"/>
    <w:tmpl w:val="F8E2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F6D71"/>
    <w:multiLevelType w:val="hybridMultilevel"/>
    <w:tmpl w:val="9E42E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DAB4163"/>
    <w:multiLevelType w:val="hybridMultilevel"/>
    <w:tmpl w:val="610A3A02"/>
    <w:lvl w:ilvl="0" w:tplc="0D385F7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B5539"/>
    <w:multiLevelType w:val="multilevel"/>
    <w:tmpl w:val="DFC29C7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15:restartNumberingAfterBreak="0">
    <w:nsid w:val="666F7A90"/>
    <w:multiLevelType w:val="hybridMultilevel"/>
    <w:tmpl w:val="5B58C924"/>
    <w:lvl w:ilvl="0" w:tplc="2782EC5A">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894AAD"/>
    <w:multiLevelType w:val="hybridMultilevel"/>
    <w:tmpl w:val="7750CCF2"/>
    <w:lvl w:ilvl="0" w:tplc="FB9C1B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8" w15:restartNumberingAfterBreak="0">
    <w:nsid w:val="6E1A3A79"/>
    <w:multiLevelType w:val="hybridMultilevel"/>
    <w:tmpl w:val="D7F67A38"/>
    <w:lvl w:ilvl="0" w:tplc="4606CA5E">
      <w:start w:val="1"/>
      <w:numFmt w:val="decimal"/>
      <w:lvlText w:val="(%1)"/>
      <w:lvlJc w:val="left"/>
      <w:pPr>
        <w:tabs>
          <w:tab w:val="num" w:pos="780"/>
        </w:tabs>
        <w:ind w:left="780" w:hanging="360"/>
      </w:pPr>
      <w:rPr>
        <w:rFonts w:hint="default"/>
      </w:rPr>
    </w:lvl>
    <w:lvl w:ilvl="1" w:tplc="C6C88A1E">
      <w:start w:val="1"/>
      <w:numFmt w:val="lowerLetter"/>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9" w15:restartNumberingAfterBreak="0">
    <w:nsid w:val="6E42310F"/>
    <w:multiLevelType w:val="hybridMultilevel"/>
    <w:tmpl w:val="7750CCF2"/>
    <w:lvl w:ilvl="0" w:tplc="FB9C1B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0" w15:restartNumberingAfterBreak="0">
    <w:nsid w:val="75A46A9C"/>
    <w:multiLevelType w:val="hybridMultilevel"/>
    <w:tmpl w:val="3F82C674"/>
    <w:lvl w:ilvl="0" w:tplc="62D268A2">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1" w15:restartNumberingAfterBreak="0">
    <w:nsid w:val="79CE28D4"/>
    <w:multiLevelType w:val="hybridMultilevel"/>
    <w:tmpl w:val="2B301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0"/>
  </w:num>
  <w:num w:numId="4">
    <w:abstractNumId w:val="19"/>
  </w:num>
  <w:num w:numId="5">
    <w:abstractNumId w:val="8"/>
  </w:num>
  <w:num w:numId="6">
    <w:abstractNumId w:val="12"/>
  </w:num>
  <w:num w:numId="7">
    <w:abstractNumId w:val="21"/>
  </w:num>
  <w:num w:numId="8">
    <w:abstractNumId w:val="6"/>
  </w:num>
  <w:num w:numId="9">
    <w:abstractNumId w:val="10"/>
  </w:num>
  <w:num w:numId="10">
    <w:abstractNumId w:val="3"/>
  </w:num>
  <w:num w:numId="11">
    <w:abstractNumId w:val="7"/>
  </w:num>
  <w:num w:numId="12">
    <w:abstractNumId w:val="16"/>
  </w:num>
  <w:num w:numId="13">
    <w:abstractNumId w:val="15"/>
  </w:num>
  <w:num w:numId="14">
    <w:abstractNumId w:val="17"/>
  </w:num>
  <w:num w:numId="15">
    <w:abstractNumId w:val="18"/>
  </w:num>
  <w:num w:numId="16">
    <w:abstractNumId w:val="2"/>
  </w:num>
  <w:num w:numId="17">
    <w:abstractNumId w:val="1"/>
  </w:num>
  <w:num w:numId="18">
    <w:abstractNumId w:val="5"/>
  </w:num>
  <w:num w:numId="19">
    <w:abstractNumId w:val="13"/>
  </w:num>
  <w:num w:numId="20">
    <w:abstractNumId w:val="11"/>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BB"/>
    <w:rsid w:val="000019DA"/>
    <w:rsid w:val="00002E37"/>
    <w:rsid w:val="00010C68"/>
    <w:rsid w:val="000225FA"/>
    <w:rsid w:val="0002562F"/>
    <w:rsid w:val="00025762"/>
    <w:rsid w:val="0002685B"/>
    <w:rsid w:val="000322E0"/>
    <w:rsid w:val="00032C2A"/>
    <w:rsid w:val="00034CAC"/>
    <w:rsid w:val="0004642A"/>
    <w:rsid w:val="00061C3D"/>
    <w:rsid w:val="000734FA"/>
    <w:rsid w:val="00073D73"/>
    <w:rsid w:val="00075DED"/>
    <w:rsid w:val="00076A36"/>
    <w:rsid w:val="0008137D"/>
    <w:rsid w:val="000841E4"/>
    <w:rsid w:val="000957F2"/>
    <w:rsid w:val="000A3BDC"/>
    <w:rsid w:val="000E170E"/>
    <w:rsid w:val="00134556"/>
    <w:rsid w:val="0013591C"/>
    <w:rsid w:val="001443C4"/>
    <w:rsid w:val="00145EEB"/>
    <w:rsid w:val="00160F6B"/>
    <w:rsid w:val="00185042"/>
    <w:rsid w:val="001D289D"/>
    <w:rsid w:val="001E0145"/>
    <w:rsid w:val="001E3F2C"/>
    <w:rsid w:val="001E49A9"/>
    <w:rsid w:val="001F16E0"/>
    <w:rsid w:val="001F2688"/>
    <w:rsid w:val="001F317D"/>
    <w:rsid w:val="00207439"/>
    <w:rsid w:val="00212BA0"/>
    <w:rsid w:val="00213C3C"/>
    <w:rsid w:val="00221D55"/>
    <w:rsid w:val="00227DE4"/>
    <w:rsid w:val="00241056"/>
    <w:rsid w:val="002414FB"/>
    <w:rsid w:val="00242D54"/>
    <w:rsid w:val="00243696"/>
    <w:rsid w:val="00247EA9"/>
    <w:rsid w:val="00255924"/>
    <w:rsid w:val="00256C74"/>
    <w:rsid w:val="002633E6"/>
    <w:rsid w:val="00265724"/>
    <w:rsid w:val="002675D7"/>
    <w:rsid w:val="00273E57"/>
    <w:rsid w:val="00273EEE"/>
    <w:rsid w:val="00277B0C"/>
    <w:rsid w:val="002872ED"/>
    <w:rsid w:val="002927D3"/>
    <w:rsid w:val="00294DF4"/>
    <w:rsid w:val="002C4F50"/>
    <w:rsid w:val="002C5760"/>
    <w:rsid w:val="002C6876"/>
    <w:rsid w:val="002C7591"/>
    <w:rsid w:val="002C79CE"/>
    <w:rsid w:val="002C7B99"/>
    <w:rsid w:val="002D31EF"/>
    <w:rsid w:val="002D3791"/>
    <w:rsid w:val="002D57EA"/>
    <w:rsid w:val="002E0DB9"/>
    <w:rsid w:val="002F54A3"/>
    <w:rsid w:val="003213D8"/>
    <w:rsid w:val="00342B21"/>
    <w:rsid w:val="00343D8A"/>
    <w:rsid w:val="003505AC"/>
    <w:rsid w:val="003510BB"/>
    <w:rsid w:val="00353F1B"/>
    <w:rsid w:val="0036399E"/>
    <w:rsid w:val="0036563E"/>
    <w:rsid w:val="00376E24"/>
    <w:rsid w:val="00383357"/>
    <w:rsid w:val="00397C44"/>
    <w:rsid w:val="003A660F"/>
    <w:rsid w:val="003C3801"/>
    <w:rsid w:val="003D3DB4"/>
    <w:rsid w:val="003D4EFB"/>
    <w:rsid w:val="003D67F5"/>
    <w:rsid w:val="003E244E"/>
    <w:rsid w:val="003E43EB"/>
    <w:rsid w:val="003F2DBD"/>
    <w:rsid w:val="003F3865"/>
    <w:rsid w:val="004112CA"/>
    <w:rsid w:val="004118EA"/>
    <w:rsid w:val="00411D73"/>
    <w:rsid w:val="00415A3C"/>
    <w:rsid w:val="0043177A"/>
    <w:rsid w:val="00441C66"/>
    <w:rsid w:val="00464FB6"/>
    <w:rsid w:val="00466CD4"/>
    <w:rsid w:val="00467D6B"/>
    <w:rsid w:val="00490D85"/>
    <w:rsid w:val="004A215D"/>
    <w:rsid w:val="004B3031"/>
    <w:rsid w:val="004C44B8"/>
    <w:rsid w:val="004D0BF0"/>
    <w:rsid w:val="004D2D10"/>
    <w:rsid w:val="004D5DDC"/>
    <w:rsid w:val="004E2FE9"/>
    <w:rsid w:val="004E4F45"/>
    <w:rsid w:val="004F5009"/>
    <w:rsid w:val="004F6805"/>
    <w:rsid w:val="00535F6F"/>
    <w:rsid w:val="00547A32"/>
    <w:rsid w:val="00552A37"/>
    <w:rsid w:val="005624E0"/>
    <w:rsid w:val="00571CED"/>
    <w:rsid w:val="005850DE"/>
    <w:rsid w:val="00586399"/>
    <w:rsid w:val="005A04C0"/>
    <w:rsid w:val="005A1CA9"/>
    <w:rsid w:val="005C026D"/>
    <w:rsid w:val="005D41A2"/>
    <w:rsid w:val="005F2102"/>
    <w:rsid w:val="005F6538"/>
    <w:rsid w:val="00602446"/>
    <w:rsid w:val="006040DE"/>
    <w:rsid w:val="00604491"/>
    <w:rsid w:val="0061390D"/>
    <w:rsid w:val="0061695B"/>
    <w:rsid w:val="0064517F"/>
    <w:rsid w:val="00655E2A"/>
    <w:rsid w:val="00661CA7"/>
    <w:rsid w:val="006716BB"/>
    <w:rsid w:val="00680D7D"/>
    <w:rsid w:val="00697451"/>
    <w:rsid w:val="006A6520"/>
    <w:rsid w:val="006B67DD"/>
    <w:rsid w:val="006B767D"/>
    <w:rsid w:val="006D7082"/>
    <w:rsid w:val="006F7782"/>
    <w:rsid w:val="00706812"/>
    <w:rsid w:val="00706CD4"/>
    <w:rsid w:val="00707D74"/>
    <w:rsid w:val="00710D0D"/>
    <w:rsid w:val="00714B80"/>
    <w:rsid w:val="00715954"/>
    <w:rsid w:val="00720D79"/>
    <w:rsid w:val="00725C52"/>
    <w:rsid w:val="0075066E"/>
    <w:rsid w:val="00756CC3"/>
    <w:rsid w:val="00784178"/>
    <w:rsid w:val="007A6764"/>
    <w:rsid w:val="007C0024"/>
    <w:rsid w:val="007C638C"/>
    <w:rsid w:val="007C6727"/>
    <w:rsid w:val="007D39D5"/>
    <w:rsid w:val="008040A2"/>
    <w:rsid w:val="008051C9"/>
    <w:rsid w:val="0080648C"/>
    <w:rsid w:val="00813A33"/>
    <w:rsid w:val="008174C4"/>
    <w:rsid w:val="00822DA4"/>
    <w:rsid w:val="00831D95"/>
    <w:rsid w:val="00836A9A"/>
    <w:rsid w:val="0084585D"/>
    <w:rsid w:val="0085387F"/>
    <w:rsid w:val="00855D7B"/>
    <w:rsid w:val="00857BBD"/>
    <w:rsid w:val="00897708"/>
    <w:rsid w:val="008C2F06"/>
    <w:rsid w:val="008F0BD5"/>
    <w:rsid w:val="00927E2D"/>
    <w:rsid w:val="0093485F"/>
    <w:rsid w:val="00936481"/>
    <w:rsid w:val="0094244D"/>
    <w:rsid w:val="0095125C"/>
    <w:rsid w:val="00954EA8"/>
    <w:rsid w:val="00975AFF"/>
    <w:rsid w:val="009962C0"/>
    <w:rsid w:val="00996FCA"/>
    <w:rsid w:val="00997D92"/>
    <w:rsid w:val="009A4603"/>
    <w:rsid w:val="009A74DD"/>
    <w:rsid w:val="009B2E58"/>
    <w:rsid w:val="009C0043"/>
    <w:rsid w:val="009C5AE3"/>
    <w:rsid w:val="009D5E5A"/>
    <w:rsid w:val="009F2B59"/>
    <w:rsid w:val="00A0620E"/>
    <w:rsid w:val="00A318F2"/>
    <w:rsid w:val="00A43454"/>
    <w:rsid w:val="00A65FCE"/>
    <w:rsid w:val="00A87024"/>
    <w:rsid w:val="00AD0C4D"/>
    <w:rsid w:val="00AD2280"/>
    <w:rsid w:val="00AD5048"/>
    <w:rsid w:val="00AD5EBB"/>
    <w:rsid w:val="00AD6FA5"/>
    <w:rsid w:val="00AD70FA"/>
    <w:rsid w:val="00AE6ED4"/>
    <w:rsid w:val="00B00932"/>
    <w:rsid w:val="00B0387D"/>
    <w:rsid w:val="00B13135"/>
    <w:rsid w:val="00B21F95"/>
    <w:rsid w:val="00B2565D"/>
    <w:rsid w:val="00B25AD4"/>
    <w:rsid w:val="00B2638B"/>
    <w:rsid w:val="00B4006E"/>
    <w:rsid w:val="00B54A0B"/>
    <w:rsid w:val="00B61CDC"/>
    <w:rsid w:val="00B75958"/>
    <w:rsid w:val="00B777E7"/>
    <w:rsid w:val="00B9355E"/>
    <w:rsid w:val="00B9420F"/>
    <w:rsid w:val="00BA1D14"/>
    <w:rsid w:val="00BA50B1"/>
    <w:rsid w:val="00BB195B"/>
    <w:rsid w:val="00BB1B29"/>
    <w:rsid w:val="00BB4AF1"/>
    <w:rsid w:val="00BB69F2"/>
    <w:rsid w:val="00BC4197"/>
    <w:rsid w:val="00C04D2B"/>
    <w:rsid w:val="00C054AE"/>
    <w:rsid w:val="00C058D8"/>
    <w:rsid w:val="00C22B44"/>
    <w:rsid w:val="00C2690C"/>
    <w:rsid w:val="00C3303D"/>
    <w:rsid w:val="00C33B8C"/>
    <w:rsid w:val="00C3424D"/>
    <w:rsid w:val="00C44018"/>
    <w:rsid w:val="00C46C1F"/>
    <w:rsid w:val="00C46E7B"/>
    <w:rsid w:val="00C66EFE"/>
    <w:rsid w:val="00C70A09"/>
    <w:rsid w:val="00C72E7B"/>
    <w:rsid w:val="00C922E3"/>
    <w:rsid w:val="00C96208"/>
    <w:rsid w:val="00CA2450"/>
    <w:rsid w:val="00CA6DF3"/>
    <w:rsid w:val="00CB1698"/>
    <w:rsid w:val="00CB2723"/>
    <w:rsid w:val="00CD2FB9"/>
    <w:rsid w:val="00CD7E49"/>
    <w:rsid w:val="00CE494B"/>
    <w:rsid w:val="00D043F9"/>
    <w:rsid w:val="00D4263B"/>
    <w:rsid w:val="00D51D60"/>
    <w:rsid w:val="00D61E16"/>
    <w:rsid w:val="00D67EBE"/>
    <w:rsid w:val="00D8176D"/>
    <w:rsid w:val="00D8522F"/>
    <w:rsid w:val="00D8612A"/>
    <w:rsid w:val="00D922B7"/>
    <w:rsid w:val="00DB3393"/>
    <w:rsid w:val="00DB6C00"/>
    <w:rsid w:val="00DB77C9"/>
    <w:rsid w:val="00DC0C1A"/>
    <w:rsid w:val="00DC6A9C"/>
    <w:rsid w:val="00E02465"/>
    <w:rsid w:val="00E3643A"/>
    <w:rsid w:val="00E43DBD"/>
    <w:rsid w:val="00E57BD6"/>
    <w:rsid w:val="00E7430C"/>
    <w:rsid w:val="00E821F7"/>
    <w:rsid w:val="00E832A3"/>
    <w:rsid w:val="00E90211"/>
    <w:rsid w:val="00EB3DD0"/>
    <w:rsid w:val="00EC23D2"/>
    <w:rsid w:val="00EC3F08"/>
    <w:rsid w:val="00ED7F00"/>
    <w:rsid w:val="00F00B45"/>
    <w:rsid w:val="00F049DD"/>
    <w:rsid w:val="00F0560C"/>
    <w:rsid w:val="00F1173D"/>
    <w:rsid w:val="00F132BC"/>
    <w:rsid w:val="00F13B0F"/>
    <w:rsid w:val="00F13F41"/>
    <w:rsid w:val="00F14205"/>
    <w:rsid w:val="00F14279"/>
    <w:rsid w:val="00F157CC"/>
    <w:rsid w:val="00F20500"/>
    <w:rsid w:val="00F32CA1"/>
    <w:rsid w:val="00F4079F"/>
    <w:rsid w:val="00F61785"/>
    <w:rsid w:val="00F669B3"/>
    <w:rsid w:val="00FB4F76"/>
    <w:rsid w:val="00FC283B"/>
    <w:rsid w:val="00FC3170"/>
    <w:rsid w:val="00FC6295"/>
    <w:rsid w:val="00FC7B4C"/>
    <w:rsid w:val="00FD1DE8"/>
    <w:rsid w:val="00FE1AC3"/>
    <w:rsid w:val="00FE5B78"/>
    <w:rsid w:val="00FF011B"/>
    <w:rsid w:val="00FF0493"/>
    <w:rsid w:val="00FF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57FED"/>
  <w15:docId w15:val="{FDBA7D6D-20D9-4BED-95BA-AE174FC0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0BB"/>
    <w:pPr>
      <w:widowControl w:val="0"/>
      <w:spacing w:before="0" w:after="0"/>
    </w:pPr>
    <w:rPr>
      <w:rFonts w:ascii="Courier New" w:eastAsia="Times New Roman" w:hAnsi="Courier New" w:cs="Times New Roman"/>
      <w:snapToGrid w:val="0"/>
      <w:sz w:val="20"/>
      <w:szCs w:val="20"/>
    </w:rPr>
  </w:style>
  <w:style w:type="paragraph" w:styleId="Heading2">
    <w:name w:val="heading 2"/>
    <w:basedOn w:val="Normal"/>
    <w:next w:val="Normal"/>
    <w:link w:val="Heading2Char"/>
    <w:uiPriority w:val="9"/>
    <w:unhideWhenUsed/>
    <w:qFormat/>
    <w:rsid w:val="003510BB"/>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DB4"/>
    <w:rPr>
      <w:color w:val="0000FF"/>
      <w:u w:val="single"/>
    </w:rPr>
  </w:style>
  <w:style w:type="paragraph" w:styleId="NormalWeb">
    <w:name w:val="Normal (Web)"/>
    <w:basedOn w:val="Normal"/>
    <w:uiPriority w:val="99"/>
    <w:semiHidden/>
    <w:unhideWhenUsed/>
    <w:rsid w:val="003D3DB4"/>
    <w:pPr>
      <w:spacing w:before="100" w:beforeAutospacing="1" w:after="100" w:afterAutospacing="1"/>
    </w:pPr>
  </w:style>
  <w:style w:type="paragraph" w:styleId="HTMLPreformatted">
    <w:name w:val="HTML Preformatted"/>
    <w:basedOn w:val="Normal"/>
    <w:link w:val="HTMLPreformattedChar"/>
    <w:uiPriority w:val="99"/>
    <w:semiHidden/>
    <w:unhideWhenUsed/>
    <w:rsid w:val="003D3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PreformattedChar">
    <w:name w:val="HTML Preformatted Char"/>
    <w:basedOn w:val="DefaultParagraphFont"/>
    <w:link w:val="HTMLPreformatted"/>
    <w:uiPriority w:val="99"/>
    <w:semiHidden/>
    <w:rsid w:val="003D3DB4"/>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3D3DB4"/>
    <w:rPr>
      <w:rFonts w:ascii="Tahoma" w:hAnsi="Tahoma" w:cs="Tahoma"/>
      <w:sz w:val="16"/>
      <w:szCs w:val="16"/>
    </w:rPr>
  </w:style>
  <w:style w:type="character" w:customStyle="1" w:styleId="BalloonTextChar">
    <w:name w:val="Balloon Text Char"/>
    <w:basedOn w:val="DefaultParagraphFont"/>
    <w:link w:val="BalloonText"/>
    <w:uiPriority w:val="99"/>
    <w:semiHidden/>
    <w:rsid w:val="003D3DB4"/>
    <w:rPr>
      <w:rFonts w:ascii="Tahoma" w:eastAsiaTheme="minorHAnsi" w:hAnsi="Tahoma" w:cs="Tahoma"/>
      <w:sz w:val="16"/>
      <w:szCs w:val="16"/>
    </w:rPr>
  </w:style>
  <w:style w:type="table" w:styleId="TableGrid">
    <w:name w:val="Table Grid"/>
    <w:basedOn w:val="TableNormal"/>
    <w:uiPriority w:val="59"/>
    <w:rsid w:val="003D3DB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DB4"/>
    <w:pPr>
      <w:ind w:left="720"/>
    </w:pPr>
  </w:style>
  <w:style w:type="character" w:customStyle="1" w:styleId="Heading2Char">
    <w:name w:val="Heading 2 Char"/>
    <w:basedOn w:val="DefaultParagraphFont"/>
    <w:link w:val="Heading2"/>
    <w:uiPriority w:val="9"/>
    <w:rsid w:val="003510BB"/>
    <w:rPr>
      <w:rFonts w:asciiTheme="majorHAnsi" w:eastAsiaTheme="majorEastAsia" w:hAnsiTheme="majorHAnsi" w:cstheme="majorBidi"/>
      <w:b/>
      <w:bCs/>
      <w:snapToGrid w:val="0"/>
      <w:sz w:val="26"/>
      <w:szCs w:val="26"/>
    </w:rPr>
  </w:style>
  <w:style w:type="paragraph" w:customStyle="1" w:styleId="LetteredParaHeadings">
    <w:name w:val="Lettered Para Headings"/>
    <w:basedOn w:val="Normal"/>
    <w:rsid w:val="003510BB"/>
    <w:pPr>
      <w:widowControl/>
      <w:spacing w:before="120"/>
      <w:ind w:left="1170" w:hanging="450"/>
    </w:pPr>
    <w:rPr>
      <w:rFonts w:ascii="Times New Roman" w:hAnsi="Times New Roman"/>
      <w:snapToGrid/>
      <w:sz w:val="24"/>
      <w:szCs w:val="24"/>
    </w:rPr>
  </w:style>
  <w:style w:type="paragraph" w:styleId="Header">
    <w:name w:val="header"/>
    <w:basedOn w:val="Normal"/>
    <w:link w:val="HeaderChar"/>
    <w:uiPriority w:val="99"/>
    <w:unhideWhenUsed/>
    <w:rsid w:val="00273EEE"/>
    <w:pPr>
      <w:tabs>
        <w:tab w:val="center" w:pos="4680"/>
        <w:tab w:val="right" w:pos="9360"/>
      </w:tabs>
    </w:pPr>
  </w:style>
  <w:style w:type="character" w:customStyle="1" w:styleId="HeaderChar">
    <w:name w:val="Header Char"/>
    <w:basedOn w:val="DefaultParagraphFont"/>
    <w:link w:val="Header"/>
    <w:uiPriority w:val="99"/>
    <w:rsid w:val="00273EEE"/>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273EEE"/>
    <w:pPr>
      <w:tabs>
        <w:tab w:val="center" w:pos="4680"/>
        <w:tab w:val="right" w:pos="9360"/>
      </w:tabs>
    </w:pPr>
  </w:style>
  <w:style w:type="character" w:customStyle="1" w:styleId="FooterChar">
    <w:name w:val="Footer Char"/>
    <w:basedOn w:val="DefaultParagraphFont"/>
    <w:link w:val="Footer"/>
    <w:uiPriority w:val="99"/>
    <w:rsid w:val="00273EEE"/>
    <w:rPr>
      <w:rFonts w:ascii="Courier New" w:eastAsia="Times New Roman" w:hAnsi="Courier New" w:cs="Times New Roman"/>
      <w:snapToGrid w:val="0"/>
      <w:sz w:val="20"/>
      <w:szCs w:val="20"/>
    </w:rPr>
  </w:style>
  <w:style w:type="character" w:styleId="CommentReference">
    <w:name w:val="annotation reference"/>
    <w:basedOn w:val="DefaultParagraphFont"/>
    <w:rsid w:val="00034CAC"/>
    <w:rPr>
      <w:sz w:val="16"/>
      <w:szCs w:val="16"/>
    </w:rPr>
  </w:style>
  <w:style w:type="paragraph" w:styleId="CommentText">
    <w:name w:val="annotation text"/>
    <w:basedOn w:val="Normal"/>
    <w:link w:val="CommentTextChar"/>
    <w:rsid w:val="00034CAC"/>
    <w:pPr>
      <w:widowControl/>
    </w:pPr>
    <w:rPr>
      <w:rFonts w:ascii="Bookman Old Style" w:hAnsi="Bookman Old Style"/>
      <w:snapToGrid/>
    </w:rPr>
  </w:style>
  <w:style w:type="character" w:customStyle="1" w:styleId="CommentTextChar">
    <w:name w:val="Comment Text Char"/>
    <w:basedOn w:val="DefaultParagraphFont"/>
    <w:link w:val="CommentText"/>
    <w:rsid w:val="00034CAC"/>
    <w:rPr>
      <w:rFonts w:ascii="Bookman Old Style" w:eastAsia="Times New Roman" w:hAnsi="Bookman Old Style" w:cs="Times New Roman"/>
      <w:sz w:val="20"/>
      <w:szCs w:val="20"/>
    </w:rPr>
  </w:style>
  <w:style w:type="paragraph" w:styleId="CommentSubject">
    <w:name w:val="annotation subject"/>
    <w:basedOn w:val="CommentText"/>
    <w:next w:val="CommentText"/>
    <w:link w:val="CommentSubjectChar"/>
    <w:uiPriority w:val="99"/>
    <w:semiHidden/>
    <w:unhideWhenUsed/>
    <w:rsid w:val="00F00B45"/>
    <w:pPr>
      <w:widowControl w:val="0"/>
    </w:pPr>
    <w:rPr>
      <w:rFonts w:ascii="Courier New" w:hAnsi="Courier New"/>
      <w:b/>
      <w:bCs/>
      <w:snapToGrid w:val="0"/>
    </w:rPr>
  </w:style>
  <w:style w:type="character" w:customStyle="1" w:styleId="CommentSubjectChar">
    <w:name w:val="Comment Subject Char"/>
    <w:basedOn w:val="CommentTextChar"/>
    <w:link w:val="CommentSubject"/>
    <w:uiPriority w:val="99"/>
    <w:semiHidden/>
    <w:rsid w:val="00F00B45"/>
    <w:rPr>
      <w:rFonts w:ascii="Courier New" w:eastAsia="Times New Roman" w:hAnsi="Courier New" w:cs="Times New Roman"/>
      <w:b/>
      <w:bCs/>
      <w:snapToGrid w:val="0"/>
      <w:sz w:val="20"/>
      <w:szCs w:val="20"/>
    </w:rPr>
  </w:style>
  <w:style w:type="paragraph" w:styleId="FootnoteText">
    <w:name w:val="footnote text"/>
    <w:basedOn w:val="Normal"/>
    <w:link w:val="FootnoteTextChar"/>
    <w:uiPriority w:val="99"/>
    <w:semiHidden/>
    <w:unhideWhenUsed/>
    <w:rsid w:val="00DB77C9"/>
  </w:style>
  <w:style w:type="character" w:customStyle="1" w:styleId="FootnoteTextChar">
    <w:name w:val="Footnote Text Char"/>
    <w:basedOn w:val="DefaultParagraphFont"/>
    <w:link w:val="FootnoteText"/>
    <w:uiPriority w:val="99"/>
    <w:semiHidden/>
    <w:rsid w:val="00DB77C9"/>
    <w:rPr>
      <w:rFonts w:ascii="Courier New" w:eastAsia="Times New Roman" w:hAnsi="Courier New" w:cs="Times New Roman"/>
      <w:snapToGrid w:val="0"/>
      <w:sz w:val="20"/>
      <w:szCs w:val="20"/>
    </w:rPr>
  </w:style>
  <w:style w:type="character" w:styleId="FootnoteReference">
    <w:name w:val="footnote reference"/>
    <w:basedOn w:val="DefaultParagraphFont"/>
    <w:uiPriority w:val="99"/>
    <w:semiHidden/>
    <w:unhideWhenUsed/>
    <w:rsid w:val="00DB77C9"/>
    <w:rPr>
      <w:vertAlign w:val="superscript"/>
    </w:rPr>
  </w:style>
  <w:style w:type="character" w:styleId="FollowedHyperlink">
    <w:name w:val="FollowedHyperlink"/>
    <w:basedOn w:val="DefaultParagraphFont"/>
    <w:uiPriority w:val="99"/>
    <w:semiHidden/>
    <w:unhideWhenUsed/>
    <w:rsid w:val="005D41A2"/>
    <w:rPr>
      <w:color w:val="800080" w:themeColor="followedHyperlink"/>
      <w:u w:val="single"/>
    </w:rPr>
  </w:style>
  <w:style w:type="paragraph" w:styleId="BodyText2">
    <w:name w:val="Body Text 2"/>
    <w:basedOn w:val="Normal"/>
    <w:link w:val="BodyText2Char"/>
    <w:rsid w:val="00134556"/>
    <w:pPr>
      <w:widowControl/>
      <w:spacing w:after="120" w:line="480" w:lineRule="auto"/>
    </w:pPr>
    <w:rPr>
      <w:rFonts w:ascii="Times New Roman" w:hAnsi="Times New Roman"/>
      <w:snapToGrid/>
      <w:sz w:val="24"/>
    </w:rPr>
  </w:style>
  <w:style w:type="character" w:customStyle="1" w:styleId="BodyText2Char">
    <w:name w:val="Body Text 2 Char"/>
    <w:basedOn w:val="DefaultParagraphFont"/>
    <w:link w:val="BodyText2"/>
    <w:rsid w:val="00134556"/>
    <w:rPr>
      <w:rFonts w:ascii="Times New Roman" w:eastAsia="Times New Roman" w:hAnsi="Times New Roman" w:cs="Times New Roman"/>
      <w:sz w:val="24"/>
      <w:szCs w:val="20"/>
    </w:rPr>
  </w:style>
  <w:style w:type="paragraph" w:customStyle="1" w:styleId="StyleIBC1">
    <w:name w:val="Style IBC +1"/>
    <w:basedOn w:val="Normal"/>
    <w:rsid w:val="00134556"/>
    <w:pPr>
      <w:widowControl/>
      <w:spacing w:before="120" w:after="120"/>
    </w:pPr>
    <w:rPr>
      <w:rFonts w:ascii="Times New Roman" w:hAnsi="Times New Roman"/>
      <w:snapToGrid/>
      <w:sz w:val="22"/>
      <w:szCs w:val="22"/>
    </w:rPr>
  </w:style>
  <w:style w:type="character" w:styleId="UnresolvedMention">
    <w:name w:val="Unresolved Mention"/>
    <w:basedOn w:val="DefaultParagraphFont"/>
    <w:uiPriority w:val="99"/>
    <w:semiHidden/>
    <w:unhideWhenUsed/>
    <w:rsid w:val="00061C3D"/>
    <w:rPr>
      <w:color w:val="605E5C"/>
      <w:shd w:val="clear" w:color="auto" w:fill="E1DFDD"/>
    </w:rPr>
  </w:style>
  <w:style w:type="table" w:styleId="TableGridLight">
    <w:name w:val="Grid Table Light"/>
    <w:basedOn w:val="TableNormal"/>
    <w:uiPriority w:val="40"/>
    <w:rsid w:val="00DC6A9C"/>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007234">
      <w:bodyDiv w:val="1"/>
      <w:marLeft w:val="0"/>
      <w:marRight w:val="0"/>
      <w:marTop w:val="0"/>
      <w:marBottom w:val="0"/>
      <w:divBdr>
        <w:top w:val="none" w:sz="0" w:space="0" w:color="auto"/>
        <w:left w:val="none" w:sz="0" w:space="0" w:color="auto"/>
        <w:bottom w:val="none" w:sz="0" w:space="0" w:color="auto"/>
        <w:right w:val="none" w:sz="0" w:space="0" w:color="auto"/>
      </w:divBdr>
    </w:div>
    <w:div w:id="1727607074">
      <w:bodyDiv w:val="1"/>
      <w:marLeft w:val="0"/>
      <w:marRight w:val="0"/>
      <w:marTop w:val="0"/>
      <w:marBottom w:val="0"/>
      <w:divBdr>
        <w:top w:val="none" w:sz="0" w:space="0" w:color="auto"/>
        <w:left w:val="none" w:sz="0" w:space="0" w:color="auto"/>
        <w:bottom w:val="none" w:sz="0" w:space="0" w:color="auto"/>
        <w:right w:val="none" w:sz="0" w:space="0" w:color="auto"/>
      </w:divBdr>
    </w:div>
    <w:div w:id="21049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R_NFIP@water.ca.gov" TargetMode="External"/><Relationship Id="rId13" Type="http://schemas.openxmlformats.org/officeDocument/2006/relationships/hyperlink" Target="https://www.fema.gov/media-library/assets/documents/87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ma.gov/media-library/assets/documents/876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MA-NFIP-R9@fema.dh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WR_NFIP@water.ca.gov" TargetMode="External"/><Relationship Id="rId4" Type="http://schemas.openxmlformats.org/officeDocument/2006/relationships/settings" Target="settings.xml"/><Relationship Id="rId9" Type="http://schemas.openxmlformats.org/officeDocument/2006/relationships/hyperlink" Target="mailto:FEMA-NFIP-R9@fema.dhs.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ema.gov/media-library/assets/documents/96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95AB9-0473-4525-8F16-641C289B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RCQuinn</dc:creator>
  <cp:lastModifiedBy>Nikki</cp:lastModifiedBy>
  <cp:revision>8</cp:revision>
  <dcterms:created xsi:type="dcterms:W3CDTF">2021-05-06T07:49:00Z</dcterms:created>
  <dcterms:modified xsi:type="dcterms:W3CDTF">2021-05-06T15:01:00Z</dcterms:modified>
</cp:coreProperties>
</file>